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B4D92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0974467">
      <w:pPr>
        <w:jc w:val="center"/>
        <w:rPr>
          <w:rFonts w:hint="eastAsia" w:eastAsia="仿宋_GB2312"/>
          <w:b/>
          <w:bCs/>
          <w:kern w:val="0"/>
          <w:sz w:val="36"/>
          <w:szCs w:val="36"/>
        </w:rPr>
      </w:pPr>
      <w:bookmarkStart w:id="0" w:name="_GoBack"/>
      <w:r>
        <w:rPr>
          <w:rFonts w:hint="eastAsia" w:ascii="方正小标宋_GBK" w:hAnsi="宋体" w:eastAsia="方正小标宋_GBK"/>
          <w:kern w:val="0"/>
          <w:sz w:val="36"/>
          <w:szCs w:val="36"/>
        </w:rPr>
        <w:t>评审办法（综合评估法）</w:t>
      </w:r>
    </w:p>
    <w:bookmarkEnd w:id="0"/>
    <w:p w14:paraId="47EA8C73">
      <w:pPr>
        <w:ind w:firstLine="744" w:firstLineChars="248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一、资格审查</w:t>
      </w:r>
    </w:p>
    <w:p w14:paraId="66331098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Times New Roman"/>
          <w:color w:val="000000"/>
          <w:w w:val="100"/>
          <w:sz w:val="30"/>
          <w:szCs w:val="30"/>
          <w:highlight w:val="none"/>
          <w:lang w:val="en-US" w:eastAsia="zh-CN"/>
        </w:rPr>
      </w:pPr>
      <w:r>
        <w:rPr>
          <w:rFonts w:hint="eastAsia" w:ascii="楷体" w:hAnsi="楷体" w:eastAsia="楷体" w:cs="楷体"/>
          <w:kern w:val="0"/>
          <w:sz w:val="30"/>
          <w:szCs w:val="30"/>
        </w:rPr>
        <w:t xml:space="preserve">    </w:t>
      </w:r>
      <w:r>
        <w:rPr>
          <w:rFonts w:hint="eastAsia" w:ascii="仿宋_GB2312" w:hAnsi="宋体" w:eastAsia="仿宋_GB2312" w:cs="Times New Roman"/>
          <w:color w:val="000000"/>
          <w:w w:val="100"/>
          <w:sz w:val="30"/>
          <w:szCs w:val="30"/>
          <w:highlight w:val="none"/>
          <w:lang w:val="en-US" w:eastAsia="zh-CN"/>
        </w:rPr>
        <w:t>对投标单位资格性进行审查，结论分为“合格”与“不合格”，评审不合格的投标文件不再进行后续评审。有下列情形之一的，应做无效投标处理：</w:t>
      </w:r>
    </w:p>
    <w:tbl>
      <w:tblPr>
        <w:tblStyle w:val="4"/>
        <w:tblW w:w="8499" w:type="dxa"/>
        <w:tblInd w:w="-195" w:type="dxa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2"/>
        <w:gridCol w:w="3118"/>
        <w:gridCol w:w="4129"/>
      </w:tblGrid>
      <w:tr w14:paraId="3AD4F4D6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437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2E37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2" w:leftChars="-1" w:firstLine="2" w:firstLineChars="1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评审内容</w:t>
            </w:r>
          </w:p>
        </w:tc>
        <w:tc>
          <w:tcPr>
            <w:tcW w:w="41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5DA9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2" w:leftChars="-1" w:firstLine="2" w:firstLineChars="1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审查标准</w:t>
            </w:r>
          </w:p>
        </w:tc>
      </w:tr>
      <w:tr w14:paraId="159F6059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25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F343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2" w:leftChars="-1" w:firstLine="2" w:firstLineChars="1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资格性</w:t>
            </w:r>
          </w:p>
          <w:p w14:paraId="3E118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2" w:leftChars="-1" w:firstLine="2" w:firstLineChars="1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审查</w:t>
            </w:r>
          </w:p>
        </w:tc>
        <w:tc>
          <w:tcPr>
            <w:tcW w:w="31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7B09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2" w:leftChars="-1" w:firstLine="2" w:firstLineChars="1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营业执照</w:t>
            </w:r>
          </w:p>
        </w:tc>
        <w:tc>
          <w:tcPr>
            <w:tcW w:w="41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68C2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2" w:leftChars="-1" w:firstLine="2" w:firstLineChars="1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营业执照是否合法有效</w:t>
            </w:r>
          </w:p>
        </w:tc>
      </w:tr>
      <w:tr w14:paraId="17F25460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25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8EE8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2" w:leftChars="-1" w:firstLine="2" w:firstLineChars="1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1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7445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2" w:leftChars="-1" w:firstLine="2" w:firstLineChars="1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征信查询</w:t>
            </w:r>
          </w:p>
        </w:tc>
        <w:tc>
          <w:tcPr>
            <w:tcW w:w="41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286C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2" w:leftChars="-1" w:firstLine="2" w:firstLineChars="1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信用查询有无不良记录</w:t>
            </w:r>
          </w:p>
        </w:tc>
      </w:tr>
    </w:tbl>
    <w:p w14:paraId="199B7372">
      <w:pPr>
        <w:numPr>
          <w:ilvl w:val="0"/>
          <w:numId w:val="0"/>
        </w:numPr>
        <w:ind w:firstLine="600" w:firstLineChars="200"/>
        <w:rPr>
          <w:rFonts w:eastAsia="仿宋_GB2312"/>
          <w:kern w:val="0"/>
          <w:sz w:val="18"/>
          <w:szCs w:val="18"/>
        </w:rPr>
      </w:pPr>
      <w:r>
        <w:rPr>
          <w:rFonts w:hint="eastAsia" w:ascii="黑体" w:hAnsi="黑体" w:eastAsia="黑体" w:cs="黑体"/>
          <w:kern w:val="0"/>
          <w:sz w:val="30"/>
          <w:szCs w:val="30"/>
          <w:highlight w:val="none"/>
          <w:lang w:val="en-US" w:eastAsia="zh-CN"/>
        </w:rPr>
        <w:t>二、</w:t>
      </w:r>
      <w:r>
        <w:rPr>
          <w:rFonts w:hint="eastAsia" w:ascii="黑体" w:hAnsi="黑体" w:eastAsia="黑体" w:cs="黑体"/>
          <w:kern w:val="0"/>
          <w:sz w:val="30"/>
          <w:szCs w:val="30"/>
          <w:highlight w:val="none"/>
        </w:rPr>
        <w:t>技术和商务标评审</w:t>
      </w:r>
    </w:p>
    <w:tbl>
      <w:tblPr>
        <w:tblStyle w:val="4"/>
        <w:tblW w:w="861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665"/>
        <w:gridCol w:w="810"/>
        <w:gridCol w:w="4009"/>
        <w:gridCol w:w="1332"/>
      </w:tblGrid>
      <w:tr w14:paraId="46098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95" w:type="dxa"/>
            <w:noWrap w:val="0"/>
            <w:vAlign w:val="center"/>
          </w:tcPr>
          <w:p w14:paraId="7D649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665" w:type="dxa"/>
            <w:noWrap w:val="0"/>
            <w:vAlign w:val="center"/>
          </w:tcPr>
          <w:p w14:paraId="3FE4B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810" w:type="dxa"/>
            <w:noWrap w:val="0"/>
            <w:vAlign w:val="center"/>
          </w:tcPr>
          <w:p w14:paraId="22C83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</w:rPr>
              <w:t>分值</w:t>
            </w:r>
          </w:p>
        </w:tc>
        <w:tc>
          <w:tcPr>
            <w:tcW w:w="4009" w:type="dxa"/>
            <w:noWrap w:val="0"/>
            <w:vAlign w:val="center"/>
          </w:tcPr>
          <w:p w14:paraId="14DDE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</w:rPr>
              <w:t>评分标准</w:t>
            </w:r>
          </w:p>
        </w:tc>
        <w:tc>
          <w:tcPr>
            <w:tcW w:w="1332" w:type="dxa"/>
            <w:noWrap w:val="0"/>
            <w:vAlign w:val="center"/>
          </w:tcPr>
          <w:p w14:paraId="0A1BB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</w:rPr>
              <w:t>评分</w:t>
            </w:r>
          </w:p>
        </w:tc>
      </w:tr>
      <w:tr w14:paraId="4466C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795" w:type="dxa"/>
            <w:noWrap w:val="0"/>
            <w:vAlign w:val="center"/>
          </w:tcPr>
          <w:p w14:paraId="40BD8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w w:val="100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/>
                <w:color w:val="000000"/>
                <w:w w:val="1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665" w:type="dxa"/>
            <w:noWrap w:val="0"/>
            <w:vAlign w:val="center"/>
          </w:tcPr>
          <w:p w14:paraId="52845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总体服务方案</w:t>
            </w:r>
          </w:p>
        </w:tc>
        <w:tc>
          <w:tcPr>
            <w:tcW w:w="810" w:type="dxa"/>
            <w:noWrap w:val="0"/>
            <w:vAlign w:val="center"/>
          </w:tcPr>
          <w:p w14:paraId="29C9D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10分</w:t>
            </w:r>
          </w:p>
        </w:tc>
        <w:tc>
          <w:tcPr>
            <w:tcW w:w="4009" w:type="dxa"/>
            <w:noWrap w:val="0"/>
            <w:vAlign w:val="center"/>
          </w:tcPr>
          <w:p w14:paraId="7C577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2" w:leftChars="-1" w:firstLine="2" w:firstLineChars="1"/>
              <w:jc w:val="left"/>
              <w:textAlignment w:val="auto"/>
              <w:rPr>
                <w:rFonts w:ascii="仿宋_GB2312" w:hAnsi="宋体" w:eastAsia="仿宋_GB2312"/>
                <w:color w:val="000000"/>
                <w:w w:val="100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根据</w:t>
            </w: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投标人</w:t>
            </w:r>
            <w:r>
              <w:rPr>
                <w:rFonts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 xml:space="preserve">提供的总体服务方案进行评分； </w:t>
            </w:r>
          </w:p>
          <w:p w14:paraId="5665B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2" w:leftChars="-1" w:firstLine="2" w:firstLineChars="1"/>
              <w:jc w:val="left"/>
              <w:textAlignment w:val="auto"/>
              <w:rPr>
                <w:rFonts w:ascii="仿宋_GB2312" w:hAnsi="宋体" w:eastAsia="仿宋_GB2312"/>
                <w:color w:val="00000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 xml:space="preserve">（1）方案内容完整、详尽细致；可行性、针对性强的，得10分； </w:t>
            </w:r>
          </w:p>
          <w:p w14:paraId="338D1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2" w:leftChars="-1" w:firstLine="2" w:firstLineChars="1"/>
              <w:jc w:val="left"/>
              <w:textAlignment w:val="auto"/>
              <w:rPr>
                <w:rFonts w:ascii="仿宋_GB2312" w:hAnsi="宋体" w:eastAsia="仿宋_GB2312"/>
                <w:color w:val="00000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 xml:space="preserve">（2）方案内容完整；具有可行性和针对性的，得6分； </w:t>
            </w:r>
          </w:p>
          <w:p w14:paraId="03011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2" w:leftChars="-1" w:firstLine="2" w:firstLineChars="1"/>
              <w:jc w:val="left"/>
              <w:textAlignment w:val="auto"/>
              <w:rPr>
                <w:rFonts w:ascii="仿宋_GB2312" w:hAnsi="宋体" w:eastAsia="仿宋_GB2312"/>
                <w:color w:val="00000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 xml:space="preserve">（3）方案内容基本适合本项目采购需求，可行性、针对性有待改善的，得3 分； </w:t>
            </w:r>
          </w:p>
          <w:p w14:paraId="4F1E6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2" w:leftChars="-1" w:firstLine="2" w:firstLineChars="1"/>
              <w:jc w:val="left"/>
              <w:textAlignment w:val="auto"/>
              <w:rPr>
                <w:rFonts w:ascii="仿宋_GB2312" w:hAnsi="宋体" w:eastAsia="仿宋_GB2312"/>
                <w:color w:val="00000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（4）方案不可行或者未提供相关内容的得0分。</w:t>
            </w:r>
          </w:p>
        </w:tc>
        <w:tc>
          <w:tcPr>
            <w:tcW w:w="1332" w:type="dxa"/>
            <w:noWrap w:val="0"/>
            <w:vAlign w:val="center"/>
          </w:tcPr>
          <w:p w14:paraId="68118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w w:val="100"/>
                <w:sz w:val="24"/>
                <w:szCs w:val="24"/>
                <w:highlight w:val="none"/>
              </w:rPr>
            </w:pPr>
          </w:p>
        </w:tc>
      </w:tr>
      <w:tr w14:paraId="03D9D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95" w:type="dxa"/>
            <w:noWrap w:val="0"/>
            <w:vAlign w:val="center"/>
          </w:tcPr>
          <w:p w14:paraId="4CA95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665" w:type="dxa"/>
            <w:noWrap w:val="0"/>
            <w:vAlign w:val="center"/>
          </w:tcPr>
          <w:p w14:paraId="6CCFF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设计方案</w:t>
            </w:r>
          </w:p>
        </w:tc>
        <w:tc>
          <w:tcPr>
            <w:tcW w:w="810" w:type="dxa"/>
            <w:noWrap w:val="0"/>
            <w:vAlign w:val="center"/>
          </w:tcPr>
          <w:p w14:paraId="6DB9F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20分</w:t>
            </w:r>
          </w:p>
        </w:tc>
        <w:tc>
          <w:tcPr>
            <w:tcW w:w="4009" w:type="dxa"/>
            <w:noWrap w:val="0"/>
            <w:vAlign w:val="center"/>
          </w:tcPr>
          <w:p w14:paraId="20766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2" w:leftChars="-1" w:firstLine="2" w:firstLineChars="1"/>
              <w:jc w:val="left"/>
              <w:textAlignment w:val="auto"/>
              <w:rPr>
                <w:rFonts w:hint="default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 xml:space="preserve">综合评估投标人针对本项目拟定的绘画方案，包括不限于项目背景、图案形式的剖析，具体内容的落实及局部细节的丰富。 </w:t>
            </w:r>
          </w:p>
          <w:p w14:paraId="5567A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2" w:leftChars="-1" w:firstLine="2" w:firstLineChars="1"/>
              <w:jc w:val="left"/>
              <w:textAlignment w:val="auto"/>
              <w:rPr>
                <w:rFonts w:hint="default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（1）方案内容完整、详尽细致；可行性、针对性强的，得</w:t>
            </w: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default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 xml:space="preserve">分； </w:t>
            </w:r>
          </w:p>
          <w:p w14:paraId="3872D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2" w:leftChars="-1" w:firstLine="2" w:firstLineChars="1"/>
              <w:jc w:val="left"/>
              <w:textAlignment w:val="auto"/>
              <w:rPr>
                <w:rFonts w:hint="default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（2）方案内容完整；具有可行性和针对性的，得</w:t>
            </w: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14</w:t>
            </w:r>
            <w:r>
              <w:rPr>
                <w:rFonts w:hint="default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 xml:space="preserve">分； </w:t>
            </w:r>
          </w:p>
          <w:p w14:paraId="4CED1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2" w:leftChars="-1" w:firstLine="2" w:firstLineChars="1"/>
              <w:jc w:val="left"/>
              <w:textAlignment w:val="auto"/>
              <w:rPr>
                <w:rFonts w:hint="default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 xml:space="preserve">（3）方案内容基本适合本项目采购需求，可行性、针对性有待改 </w:t>
            </w:r>
          </w:p>
          <w:p w14:paraId="67DCA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2" w:leftChars="-1" w:firstLine="2" w:firstLineChars="1"/>
              <w:jc w:val="left"/>
              <w:textAlignment w:val="auto"/>
              <w:rPr>
                <w:rFonts w:hint="default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善的，得</w:t>
            </w: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default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 xml:space="preserve">分； </w:t>
            </w:r>
          </w:p>
          <w:p w14:paraId="3DDC2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2" w:leftChars="-1" w:firstLine="2" w:firstLineChars="1"/>
              <w:jc w:val="left"/>
              <w:textAlignment w:val="auto"/>
              <w:rPr>
                <w:rFonts w:hint="default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（4）方案不可行或者未提供相关内容的得0分。</w:t>
            </w:r>
          </w:p>
        </w:tc>
        <w:tc>
          <w:tcPr>
            <w:tcW w:w="1332" w:type="dxa"/>
            <w:noWrap w:val="0"/>
            <w:vAlign w:val="center"/>
          </w:tcPr>
          <w:p w14:paraId="65666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w w:val="100"/>
                <w:sz w:val="24"/>
                <w:szCs w:val="24"/>
                <w:highlight w:val="none"/>
              </w:rPr>
            </w:pPr>
          </w:p>
        </w:tc>
      </w:tr>
      <w:tr w14:paraId="5EF7D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795" w:type="dxa"/>
            <w:noWrap w:val="0"/>
            <w:vAlign w:val="center"/>
          </w:tcPr>
          <w:p w14:paraId="641CC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665" w:type="dxa"/>
            <w:noWrap w:val="0"/>
            <w:vAlign w:val="center"/>
          </w:tcPr>
          <w:p w14:paraId="7B2F9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文明施工方案</w:t>
            </w:r>
          </w:p>
        </w:tc>
        <w:tc>
          <w:tcPr>
            <w:tcW w:w="810" w:type="dxa"/>
            <w:noWrap w:val="0"/>
            <w:vAlign w:val="center"/>
          </w:tcPr>
          <w:p w14:paraId="128F3E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15分</w:t>
            </w:r>
          </w:p>
        </w:tc>
        <w:tc>
          <w:tcPr>
            <w:tcW w:w="4009" w:type="dxa"/>
            <w:noWrap w:val="0"/>
            <w:vAlign w:val="center"/>
          </w:tcPr>
          <w:p w14:paraId="605B3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2" w:leftChars="-1" w:firstLine="2" w:firstLineChars="1"/>
              <w:jc w:val="left"/>
              <w:textAlignment w:val="auto"/>
              <w:rPr>
                <w:rFonts w:ascii="仿宋_GB2312" w:hAnsi="宋体" w:eastAsia="仿宋_GB2312"/>
                <w:color w:val="00000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投标人</w:t>
            </w:r>
            <w:r>
              <w:rPr>
                <w:rFonts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应深入了解本项目服务内容，根据项目采购需求，编制针</w:t>
            </w: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 xml:space="preserve">对本项目的安全保障措施方案，内容包括但不限于安全管理制度、 高空作业人员、设备和行车安全保障措施等。根据投标人提供的方案进行综合评分： </w:t>
            </w:r>
          </w:p>
          <w:p w14:paraId="1B7B0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2" w:leftChars="-1" w:firstLine="2" w:firstLineChars="1"/>
              <w:jc w:val="left"/>
              <w:textAlignment w:val="auto"/>
              <w:rPr>
                <w:rFonts w:ascii="仿宋_GB2312" w:hAnsi="宋体" w:eastAsia="仿宋_GB2312"/>
                <w:color w:val="00000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default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）内容完全贴合采购需求，可行性、针对性强的，得1</w:t>
            </w:r>
            <w:r>
              <w:rPr>
                <w:rFonts w:hint="default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 xml:space="preserve">分； </w:t>
            </w:r>
          </w:p>
          <w:p w14:paraId="7358D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2" w:leftChars="-1" w:firstLine="2" w:firstLineChars="1"/>
              <w:jc w:val="left"/>
              <w:textAlignment w:val="auto"/>
              <w:rPr>
                <w:rFonts w:ascii="仿宋_GB2312" w:hAnsi="宋体" w:eastAsia="仿宋_GB2312"/>
                <w:color w:val="00000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default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）内容基本贴合采购需求，具有可行性和针对性的，得10</w:t>
            </w:r>
            <w:r>
              <w:rPr>
                <w:rFonts w:hint="default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 xml:space="preserve">分； </w:t>
            </w:r>
          </w:p>
          <w:p w14:paraId="03F2B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2" w:leftChars="-1" w:firstLine="2" w:firstLineChars="1"/>
              <w:jc w:val="left"/>
              <w:textAlignment w:val="auto"/>
              <w:rPr>
                <w:rFonts w:ascii="仿宋_GB2312" w:hAnsi="宋体" w:eastAsia="仿宋_GB2312"/>
                <w:color w:val="00000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default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）内容基本适合本项目采购需求，可行性、针对性有待改善的，得5</w:t>
            </w:r>
            <w:r>
              <w:rPr>
                <w:rFonts w:hint="default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 xml:space="preserve">分； </w:t>
            </w:r>
          </w:p>
          <w:p w14:paraId="44F23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2" w:leftChars="-1" w:firstLine="2" w:firstLineChars="1"/>
              <w:jc w:val="left"/>
              <w:textAlignment w:val="auto"/>
              <w:rPr>
                <w:rFonts w:ascii="仿宋_GB2312" w:hAnsi="宋体" w:eastAsia="仿宋_GB2312"/>
                <w:color w:val="00000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default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）内容不可行或者未提供相关内容的得</w:t>
            </w:r>
            <w:r>
              <w:rPr>
                <w:rFonts w:hint="default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分。</w:t>
            </w:r>
          </w:p>
        </w:tc>
        <w:tc>
          <w:tcPr>
            <w:tcW w:w="1332" w:type="dxa"/>
            <w:noWrap w:val="0"/>
            <w:vAlign w:val="center"/>
          </w:tcPr>
          <w:p w14:paraId="32F07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w w:val="100"/>
                <w:sz w:val="24"/>
                <w:szCs w:val="24"/>
                <w:highlight w:val="none"/>
              </w:rPr>
            </w:pPr>
          </w:p>
          <w:p w14:paraId="3AC7D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w w:val="100"/>
                <w:sz w:val="24"/>
                <w:szCs w:val="24"/>
                <w:highlight w:val="none"/>
              </w:rPr>
            </w:pPr>
          </w:p>
        </w:tc>
      </w:tr>
      <w:tr w14:paraId="257D5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795" w:type="dxa"/>
            <w:noWrap w:val="0"/>
            <w:vAlign w:val="center"/>
          </w:tcPr>
          <w:p w14:paraId="5722D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665" w:type="dxa"/>
            <w:noWrap w:val="0"/>
            <w:vAlign w:val="center"/>
          </w:tcPr>
          <w:p w14:paraId="015D9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质量控制方案</w:t>
            </w:r>
          </w:p>
        </w:tc>
        <w:tc>
          <w:tcPr>
            <w:tcW w:w="810" w:type="dxa"/>
            <w:noWrap w:val="0"/>
            <w:vAlign w:val="center"/>
          </w:tcPr>
          <w:p w14:paraId="1C0AE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10分</w:t>
            </w:r>
          </w:p>
        </w:tc>
        <w:tc>
          <w:tcPr>
            <w:tcW w:w="4009" w:type="dxa"/>
            <w:noWrap w:val="0"/>
            <w:vAlign w:val="center"/>
          </w:tcPr>
          <w:p w14:paraId="2CCB0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2" w:leftChars="-1" w:firstLine="2" w:firstLineChars="1"/>
              <w:jc w:val="left"/>
              <w:textAlignment w:val="auto"/>
              <w:rPr>
                <w:rFonts w:ascii="仿宋_GB2312" w:hAnsi="宋体" w:eastAsia="仿宋_GB2312"/>
                <w:color w:val="000000"/>
                <w:w w:val="100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根据投标人针对本项目制定的质量控制方案进行综合评分</w:t>
            </w: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，包括但不限于基层处理、绘制使用材料的选择、拟投入的设施设备情况、质保期限等</w:t>
            </w:r>
            <w:r>
              <w:rPr>
                <w:rFonts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 xml:space="preserve">： </w:t>
            </w:r>
          </w:p>
          <w:p w14:paraId="4310B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2" w:leftChars="-1" w:firstLine="2" w:firstLineChars="1"/>
              <w:jc w:val="left"/>
              <w:textAlignment w:val="auto"/>
              <w:rPr>
                <w:rFonts w:ascii="仿宋_GB2312" w:hAnsi="宋体" w:eastAsia="仿宋_GB2312"/>
                <w:color w:val="00000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 xml:space="preserve">（1）方案内容完整、详尽细致；可行性、针对性强的，得10分； </w:t>
            </w:r>
          </w:p>
          <w:p w14:paraId="7D212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2" w:leftChars="-1" w:firstLine="2" w:firstLineChars="1"/>
              <w:jc w:val="left"/>
              <w:textAlignment w:val="auto"/>
              <w:rPr>
                <w:rFonts w:ascii="仿宋_GB2312" w:hAnsi="宋体" w:eastAsia="仿宋_GB2312"/>
                <w:color w:val="00000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 xml:space="preserve">（2）方案内容完整；具有可行性和针对性的，得6分； </w:t>
            </w:r>
          </w:p>
          <w:p w14:paraId="1B523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2" w:leftChars="-1" w:firstLine="2" w:firstLineChars="1"/>
              <w:jc w:val="left"/>
              <w:textAlignment w:val="auto"/>
              <w:rPr>
                <w:rFonts w:ascii="仿宋_GB2312" w:hAnsi="宋体" w:eastAsia="仿宋_GB2312"/>
                <w:color w:val="00000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 xml:space="preserve">（3）方案内容基本适合本项目采购需求，可行性、针对性有待改善的，得3分； </w:t>
            </w:r>
          </w:p>
          <w:p w14:paraId="55A40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2" w:leftChars="-1" w:firstLine="2" w:firstLineChars="1"/>
              <w:jc w:val="left"/>
              <w:textAlignment w:val="auto"/>
              <w:rPr>
                <w:rFonts w:ascii="仿宋_GB2312" w:hAnsi="宋体" w:eastAsia="仿宋_GB2312"/>
                <w:color w:val="00000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（4）方案不可行或者未提供相关内容的得0分。</w:t>
            </w:r>
          </w:p>
        </w:tc>
        <w:tc>
          <w:tcPr>
            <w:tcW w:w="1332" w:type="dxa"/>
            <w:noWrap w:val="0"/>
            <w:vAlign w:val="center"/>
          </w:tcPr>
          <w:p w14:paraId="175BE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w w:val="100"/>
                <w:sz w:val="24"/>
                <w:szCs w:val="24"/>
                <w:highlight w:val="none"/>
              </w:rPr>
            </w:pPr>
          </w:p>
        </w:tc>
      </w:tr>
      <w:tr w14:paraId="6BE83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795" w:type="dxa"/>
            <w:noWrap w:val="0"/>
            <w:vAlign w:val="center"/>
          </w:tcPr>
          <w:p w14:paraId="2E827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665" w:type="dxa"/>
            <w:noWrap w:val="0"/>
            <w:vAlign w:val="center"/>
          </w:tcPr>
          <w:p w14:paraId="5949B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应急预案</w:t>
            </w:r>
          </w:p>
        </w:tc>
        <w:tc>
          <w:tcPr>
            <w:tcW w:w="810" w:type="dxa"/>
            <w:noWrap w:val="0"/>
            <w:vAlign w:val="center"/>
          </w:tcPr>
          <w:p w14:paraId="51DCD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6分</w:t>
            </w:r>
          </w:p>
        </w:tc>
        <w:tc>
          <w:tcPr>
            <w:tcW w:w="4009" w:type="dxa"/>
            <w:noWrap w:val="0"/>
            <w:vAlign w:val="center"/>
          </w:tcPr>
          <w:p w14:paraId="63E82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2" w:leftChars="-1" w:firstLine="2" w:firstLineChars="1"/>
              <w:jc w:val="left"/>
              <w:textAlignment w:val="auto"/>
              <w:rPr>
                <w:rFonts w:ascii="仿宋_GB2312" w:hAnsi="宋体" w:eastAsia="仿宋_GB2312"/>
                <w:color w:val="000000"/>
                <w:w w:val="100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根据</w:t>
            </w: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投标人</w:t>
            </w:r>
            <w:r>
              <w:rPr>
                <w:rFonts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对工作过程中可能存在的紧急、突发事件提供的应急</w:t>
            </w: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措施和应急预案进行评审。</w:t>
            </w:r>
          </w:p>
          <w:p w14:paraId="4F656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2" w:leftChars="-1" w:firstLine="2" w:firstLineChars="1"/>
              <w:jc w:val="left"/>
              <w:textAlignment w:val="auto"/>
              <w:rPr>
                <w:rFonts w:ascii="仿宋_GB2312" w:hAnsi="宋体" w:eastAsia="仿宋_GB2312"/>
                <w:color w:val="00000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 xml:space="preserve">（1）应急处理预案切合实际，针对性、可行性高的,得6分； </w:t>
            </w:r>
          </w:p>
          <w:p w14:paraId="1FBED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2" w:leftChars="-1" w:firstLine="2" w:firstLineChars="1"/>
              <w:jc w:val="left"/>
              <w:textAlignment w:val="auto"/>
              <w:rPr>
                <w:rFonts w:ascii="仿宋_GB2312" w:hAnsi="宋体" w:eastAsia="仿宋_GB2312"/>
                <w:color w:val="00000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 xml:space="preserve">（2）应急处理预案有一定针对性、可行性的,得4分； </w:t>
            </w:r>
          </w:p>
          <w:p w14:paraId="2C324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2" w:leftChars="-1" w:firstLine="2" w:firstLineChars="1"/>
              <w:jc w:val="left"/>
              <w:textAlignment w:val="auto"/>
              <w:rPr>
                <w:rFonts w:ascii="仿宋_GB2312" w:hAnsi="宋体" w:eastAsia="仿宋_GB2312"/>
                <w:color w:val="00000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 xml:space="preserve">（3）应急处理预案部分切合实际，针对性、可行性有待改善的, 得2分； </w:t>
            </w:r>
          </w:p>
          <w:p w14:paraId="15373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2" w:leftChars="-1" w:firstLine="2" w:firstLineChars="1"/>
              <w:jc w:val="left"/>
              <w:textAlignment w:val="auto"/>
              <w:rPr>
                <w:rFonts w:ascii="仿宋_GB2312" w:hAnsi="宋体" w:eastAsia="仿宋_GB2312"/>
                <w:color w:val="00000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（4）未提供相关内容的得0分。</w:t>
            </w:r>
          </w:p>
        </w:tc>
        <w:tc>
          <w:tcPr>
            <w:tcW w:w="1332" w:type="dxa"/>
            <w:noWrap w:val="0"/>
            <w:vAlign w:val="center"/>
          </w:tcPr>
          <w:p w14:paraId="0283B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w w:val="100"/>
                <w:sz w:val="24"/>
                <w:szCs w:val="24"/>
                <w:highlight w:val="none"/>
              </w:rPr>
            </w:pPr>
          </w:p>
        </w:tc>
      </w:tr>
      <w:tr w14:paraId="30DAC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95" w:type="dxa"/>
            <w:noWrap w:val="0"/>
            <w:vAlign w:val="center"/>
          </w:tcPr>
          <w:p w14:paraId="10532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665" w:type="dxa"/>
            <w:noWrap w:val="0"/>
            <w:vAlign w:val="center"/>
          </w:tcPr>
          <w:p w14:paraId="44DAF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投标人业绩</w:t>
            </w:r>
          </w:p>
        </w:tc>
        <w:tc>
          <w:tcPr>
            <w:tcW w:w="810" w:type="dxa"/>
            <w:noWrap w:val="0"/>
            <w:vAlign w:val="center"/>
          </w:tcPr>
          <w:p w14:paraId="49068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4009" w:type="dxa"/>
            <w:noWrap w:val="0"/>
            <w:vAlign w:val="center"/>
          </w:tcPr>
          <w:p w14:paraId="7AE73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2" w:leftChars="-1" w:firstLine="2" w:firstLineChars="1"/>
              <w:jc w:val="left"/>
              <w:textAlignment w:val="auto"/>
              <w:rPr>
                <w:rFonts w:hint="default" w:ascii="仿宋_GB2312" w:hAnsi="宋体" w:eastAsia="仿宋_GB2312" w:cs="Times New Roman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（1）施工业绩2分：投标人</w:t>
            </w:r>
            <w:r>
              <w:rPr>
                <w:rFonts w:hint="default" w:ascii="仿宋_GB2312" w:hAnsi="宋体" w:eastAsia="仿宋_GB2312" w:cs="Times New Roman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 xml:space="preserve">具备同类业务（户外墙绘类或含桥墩柱墙绘内容）服务业绩的，提供业绩合同，每有一份业绩合同加 </w:t>
            </w:r>
            <w:r>
              <w:rPr>
                <w:rFonts w:hint="eastAsia" w:ascii="仿宋_GB2312" w:hAnsi="宋体" w:eastAsia="仿宋_GB2312" w:cs="Times New Roman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仿宋_GB2312" w:hAnsi="宋体" w:eastAsia="仿宋_GB2312" w:cs="Times New Roman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 xml:space="preserve"> 分，加满</w:t>
            </w:r>
            <w:r>
              <w:rPr>
                <w:rFonts w:hint="eastAsia" w:ascii="仿宋_GB2312" w:hAnsi="宋体" w:eastAsia="仿宋_GB2312" w:cs="Times New Roman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2分</w:t>
            </w:r>
            <w:r>
              <w:rPr>
                <w:rFonts w:hint="default" w:ascii="仿宋_GB2312" w:hAnsi="宋体" w:eastAsia="仿宋_GB2312" w:cs="Times New Roman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为止。</w:t>
            </w:r>
          </w:p>
          <w:p w14:paraId="6E53E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2" w:leftChars="-1" w:firstLine="2" w:firstLineChars="1"/>
              <w:jc w:val="left"/>
              <w:textAlignment w:val="auto"/>
              <w:rPr>
                <w:rFonts w:hint="eastAsia" w:ascii="仿宋_GB2312" w:hAnsi="宋体" w:eastAsia="仿宋_GB2312" w:cs="Times New Roman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（2）设计业绩2分：</w:t>
            </w: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投标人</w:t>
            </w:r>
            <w:r>
              <w:rPr>
                <w:rFonts w:hint="default" w:ascii="仿宋_GB2312" w:hAnsi="宋体" w:eastAsia="仿宋_GB2312" w:cs="Times New Roman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具备同类业务（</w:t>
            </w:r>
            <w:r>
              <w:rPr>
                <w:rFonts w:hint="eastAsia" w:ascii="仿宋_GB2312" w:hAnsi="宋体" w:eastAsia="仿宋_GB2312" w:cs="Times New Roman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相关产品设计、宣传手册设计、展示展览设计等内容</w:t>
            </w:r>
            <w:r>
              <w:rPr>
                <w:rFonts w:hint="default" w:ascii="仿宋_GB2312" w:hAnsi="宋体" w:eastAsia="仿宋_GB2312" w:cs="Times New Roman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 xml:space="preserve">）服务业绩的，提供业绩合同，每有一份业绩合同加 </w:t>
            </w:r>
            <w:r>
              <w:rPr>
                <w:rFonts w:hint="eastAsia" w:ascii="仿宋_GB2312" w:hAnsi="宋体" w:eastAsia="仿宋_GB2312" w:cs="Times New Roman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仿宋_GB2312" w:hAnsi="宋体" w:eastAsia="仿宋_GB2312" w:cs="Times New Roman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 xml:space="preserve"> 分，加满</w:t>
            </w:r>
            <w:r>
              <w:rPr>
                <w:rFonts w:hint="eastAsia" w:ascii="仿宋_GB2312" w:hAnsi="宋体" w:eastAsia="仿宋_GB2312" w:cs="Times New Roman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2分</w:t>
            </w:r>
            <w:r>
              <w:rPr>
                <w:rFonts w:hint="default" w:ascii="仿宋_GB2312" w:hAnsi="宋体" w:eastAsia="仿宋_GB2312" w:cs="Times New Roman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为止。</w:t>
            </w:r>
          </w:p>
          <w:p w14:paraId="531AD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2" w:leftChars="-1" w:firstLine="2" w:firstLineChars="1"/>
              <w:jc w:val="left"/>
              <w:textAlignment w:val="auto"/>
              <w:rPr>
                <w:rFonts w:hint="default" w:ascii="仿宋_GB2312" w:hAnsi="宋体" w:eastAsia="仿宋_GB2312" w:cs="Times New Roman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Times New Roman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响应文件中须提供业绩合同，扫描件应能辨识买卖双方公章或合同专用章、标的信息；如业绩合同不能体现以上全部内容，可提供业绩合同甲方盖公章的证明扫描件。否则，不得分。供应商与其关联公司（单位负责人为同一人或者存在直接控股、管理关系的不同供应商）之间签订的合同，均不予认可。</w:t>
            </w:r>
          </w:p>
        </w:tc>
        <w:tc>
          <w:tcPr>
            <w:tcW w:w="1332" w:type="dxa"/>
            <w:noWrap w:val="0"/>
            <w:vAlign w:val="center"/>
          </w:tcPr>
          <w:p w14:paraId="62A4A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2" w:leftChars="-1" w:firstLine="2" w:firstLineChars="1"/>
              <w:jc w:val="left"/>
              <w:textAlignment w:val="auto"/>
              <w:rPr>
                <w:rFonts w:hint="eastAsia" w:ascii="仿宋_GB2312" w:hAnsi="宋体" w:eastAsia="仿宋_GB2312" w:cs="Times New Roman"/>
                <w:color w:val="000000"/>
                <w:w w:val="100"/>
                <w:sz w:val="24"/>
                <w:szCs w:val="24"/>
                <w:highlight w:val="none"/>
              </w:rPr>
            </w:pPr>
          </w:p>
          <w:p w14:paraId="3D678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2" w:leftChars="-1" w:firstLine="2" w:firstLineChars="1"/>
              <w:jc w:val="left"/>
              <w:textAlignment w:val="auto"/>
              <w:rPr>
                <w:rFonts w:hint="eastAsia" w:ascii="仿宋_GB2312" w:hAnsi="宋体" w:eastAsia="仿宋_GB2312" w:cs="Times New Roman"/>
                <w:color w:val="000000"/>
                <w:w w:val="100"/>
                <w:sz w:val="24"/>
                <w:szCs w:val="24"/>
                <w:highlight w:val="none"/>
              </w:rPr>
            </w:pPr>
          </w:p>
        </w:tc>
      </w:tr>
      <w:tr w14:paraId="72240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795" w:type="dxa"/>
            <w:noWrap w:val="0"/>
            <w:vAlign w:val="center"/>
          </w:tcPr>
          <w:p w14:paraId="3878D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665" w:type="dxa"/>
            <w:noWrap w:val="0"/>
            <w:vAlign w:val="center"/>
          </w:tcPr>
          <w:p w14:paraId="49885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</w:rPr>
              <w:t>投标报价</w:t>
            </w:r>
          </w:p>
        </w:tc>
        <w:tc>
          <w:tcPr>
            <w:tcW w:w="810" w:type="dxa"/>
            <w:noWrap w:val="0"/>
            <w:vAlign w:val="center"/>
          </w:tcPr>
          <w:p w14:paraId="1AAAA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35</w:t>
            </w:r>
          </w:p>
        </w:tc>
        <w:tc>
          <w:tcPr>
            <w:tcW w:w="4009" w:type="dxa"/>
            <w:noWrap w:val="0"/>
            <w:vAlign w:val="center"/>
          </w:tcPr>
          <w:p w14:paraId="404D4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宋体" w:eastAsia="仿宋_GB2312"/>
                <w:color w:val="000000"/>
                <w:w w:val="1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满足招标文件要求且投标报价最低价为评标基准价，得分计算公式：投标报价得分=评标基准价/投标报价×35</w:t>
            </w:r>
          </w:p>
        </w:tc>
        <w:tc>
          <w:tcPr>
            <w:tcW w:w="1332" w:type="dxa"/>
            <w:noWrap w:val="0"/>
            <w:vAlign w:val="center"/>
          </w:tcPr>
          <w:p w14:paraId="76978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w w:val="100"/>
                <w:sz w:val="24"/>
                <w:szCs w:val="24"/>
                <w:highlight w:val="none"/>
              </w:rPr>
            </w:pPr>
          </w:p>
        </w:tc>
      </w:tr>
      <w:tr w14:paraId="44DCB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7279" w:type="dxa"/>
            <w:gridSpan w:val="4"/>
            <w:noWrap w:val="0"/>
            <w:vAlign w:val="center"/>
          </w:tcPr>
          <w:p w14:paraId="2F1D9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w w:val="100"/>
                <w:sz w:val="24"/>
                <w:szCs w:val="24"/>
                <w:highlight w:val="none"/>
              </w:rPr>
              <w:t>综合得分</w:t>
            </w:r>
          </w:p>
        </w:tc>
        <w:tc>
          <w:tcPr>
            <w:tcW w:w="1332" w:type="dxa"/>
            <w:noWrap w:val="0"/>
            <w:vAlign w:val="center"/>
          </w:tcPr>
          <w:p w14:paraId="5D57A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w w:val="100"/>
                <w:sz w:val="24"/>
                <w:szCs w:val="24"/>
                <w:highlight w:val="none"/>
              </w:rPr>
            </w:pPr>
          </w:p>
        </w:tc>
      </w:tr>
    </w:tbl>
    <w:p w14:paraId="21471156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438C6"/>
    <w:rsid w:val="02A960CC"/>
    <w:rsid w:val="07825BA3"/>
    <w:rsid w:val="1A206E5D"/>
    <w:rsid w:val="36075C31"/>
    <w:rsid w:val="3F9D73DC"/>
    <w:rsid w:val="409741F1"/>
    <w:rsid w:val="43D64D48"/>
    <w:rsid w:val="60DE7565"/>
    <w:rsid w:val="634438C6"/>
    <w:rsid w:val="644268AB"/>
    <w:rsid w:val="74D86DA5"/>
    <w:rsid w:val="7FF4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45"/>
    </w:pPr>
    <w:rPr>
      <w:rFonts w:ascii="楷体_GB2312" w:eastAsia="楷体_GB2312"/>
      <w:sz w:val="32"/>
      <w:szCs w:val="20"/>
    </w:rPr>
  </w:style>
  <w:style w:type="paragraph" w:styleId="3">
    <w:name w:val="Body Text First Indent 2"/>
    <w:basedOn w:val="2"/>
    <w:unhideWhenUsed/>
    <w:qFormat/>
    <w:uiPriority w:val="99"/>
    <w:pPr>
      <w:ind w:left="420" w:firstLine="420" w:firstLineChars="200"/>
    </w:pPr>
    <w:rPr>
      <w:rFonts w:asci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2678</Words>
  <Characters>2758</Characters>
  <Lines>0</Lines>
  <Paragraphs>0</Paragraphs>
  <TotalTime>21</TotalTime>
  <ScaleCrop>false</ScaleCrop>
  <LinksUpToDate>false</LinksUpToDate>
  <CharactersWithSpaces>2831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2026-07-14T01:14:00Z</dcterms:created>
  <dc:creator>张宗良</dc:creator>
  <cp:lastModifiedBy>俞宴明</cp:lastModifiedBy>
  <dcterms:modified xsi:type="dcterms:W3CDTF">2026-07-17T12:52:35Z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E870C3F301E8481D8A86AA75B1D4FAF9_13</vt:lpwstr>
  </property>
  <property fmtid="{D5CDD505-2E9C-101B-9397-08002B2CF9AE}" pid="4" name="KSOTemplateDocerSaveRecord">
    <vt:lpwstr>eyJoZGlkIjoiNzkzODM2YmY1OGFhMzM5OThkN2IzMWQ4Yjk2ZGZiZmYiLCJ1c2VySWQiOiIxNTI1MzM3NjU0In0=</vt:lpwstr>
  </property>
</Properties>
</file>