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65E0A">
      <w:pPr>
        <w:jc w:val="center"/>
        <w:rPr>
          <w:rFonts w:hint="eastAsia" w:ascii="方正小标宋_GBK" w:hAnsi="宋体" w:eastAsia="方正小标宋_GBK"/>
          <w:kern w:val="0"/>
          <w:sz w:val="36"/>
          <w:szCs w:val="36"/>
          <w:lang w:eastAsia="zh-CN"/>
        </w:rPr>
      </w:pPr>
      <w:r>
        <w:rPr>
          <w:rFonts w:hint="eastAsia" w:ascii="方正小标宋_GBK" w:hAnsi="宋体" w:eastAsia="方正小标宋_GBK"/>
          <w:kern w:val="0"/>
          <w:sz w:val="36"/>
          <w:szCs w:val="36"/>
        </w:rPr>
        <w:t>银湖园区留创园内墙出新部分楼层吊顶更换</w:t>
      </w:r>
      <w:r>
        <w:rPr>
          <w:rFonts w:hint="eastAsia" w:ascii="方正小标宋_GBK" w:hAnsi="宋体" w:eastAsia="方正小标宋_GBK"/>
          <w:kern w:val="0"/>
          <w:sz w:val="36"/>
          <w:szCs w:val="36"/>
          <w:lang w:eastAsia="zh-CN"/>
        </w:rPr>
        <w:t>项目</w:t>
      </w:r>
    </w:p>
    <w:p w14:paraId="38AEF852">
      <w:pPr>
        <w:jc w:val="center"/>
        <w:rPr>
          <w:rFonts w:hint="eastAsia" w:eastAsia="仿宋_GB2312"/>
          <w:b/>
          <w:bCs/>
          <w:kern w:val="0"/>
          <w:sz w:val="36"/>
          <w:szCs w:val="36"/>
        </w:rPr>
      </w:pPr>
      <w:r>
        <w:rPr>
          <w:rFonts w:hint="eastAsia" w:ascii="方正小标宋_GBK" w:hAnsi="宋体" w:eastAsia="方正小标宋_GBK"/>
          <w:kern w:val="0"/>
          <w:sz w:val="36"/>
          <w:szCs w:val="36"/>
        </w:rPr>
        <w:t>评审办法（综合评估法）</w:t>
      </w:r>
      <w:bookmarkStart w:id="0" w:name="_GoBack"/>
      <w:bookmarkEnd w:id="0"/>
    </w:p>
    <w:p w14:paraId="3802381B">
      <w:pPr>
        <w:ind w:firstLine="600"/>
        <w:jc w:val="left"/>
        <w:rPr>
          <w:rFonts w:eastAsia="仿宋_GB2312"/>
          <w:kern w:val="0"/>
          <w:sz w:val="30"/>
          <w:szCs w:val="30"/>
        </w:rPr>
      </w:pPr>
    </w:p>
    <w:p w14:paraId="2815E4D9">
      <w:pPr>
        <w:ind w:firstLine="744" w:firstLineChars="248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一、资格审查</w:t>
      </w:r>
    </w:p>
    <w:p w14:paraId="27648690">
      <w:pPr>
        <w:ind w:right="-1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 xml:space="preserve">    </w:t>
      </w:r>
      <w:r>
        <w:rPr>
          <w:rFonts w:hint="eastAsia" w:eastAsia="仿宋_GB2312"/>
          <w:kern w:val="0"/>
          <w:sz w:val="30"/>
          <w:szCs w:val="30"/>
        </w:rPr>
        <w:t>对投标单位资格性进行审查，结论分为“合格”与“不合格”</w:t>
      </w:r>
      <w:r>
        <w:rPr>
          <w:rFonts w:hint="eastAsia" w:eastAsia="仿宋_GB2312"/>
          <w:kern w:val="0"/>
          <w:sz w:val="30"/>
          <w:szCs w:val="30"/>
          <w:lang w:eastAsia="zh-CN"/>
        </w:rPr>
        <w:t>，</w:t>
      </w:r>
      <w:r>
        <w:rPr>
          <w:rFonts w:hint="eastAsia" w:eastAsia="仿宋_GB2312"/>
          <w:kern w:val="0"/>
          <w:sz w:val="30"/>
          <w:szCs w:val="30"/>
        </w:rPr>
        <w:t>评审不合格的投标文件不再进行后续评审</w:t>
      </w:r>
      <w:r>
        <w:rPr>
          <w:rFonts w:hint="eastAsia" w:eastAsia="仿宋_GB2312"/>
          <w:kern w:val="0"/>
          <w:sz w:val="30"/>
          <w:szCs w:val="30"/>
          <w:lang w:eastAsia="zh-CN"/>
        </w:rPr>
        <w:t>。</w:t>
      </w:r>
    </w:p>
    <w:p w14:paraId="4599E41F">
      <w:pPr>
        <w:ind w:firstLine="597" w:firstLineChars="199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有下列情形之一的，应做无效投标处理：</w:t>
      </w:r>
    </w:p>
    <w:tbl>
      <w:tblPr>
        <w:tblStyle w:val="6"/>
        <w:tblW w:w="9072" w:type="dxa"/>
        <w:tblInd w:w="284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3261"/>
        <w:gridCol w:w="4394"/>
      </w:tblGrid>
      <w:tr w14:paraId="1C717242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455" w:hRule="atLeast"/>
        </w:trPr>
        <w:tc>
          <w:tcPr>
            <w:tcW w:w="46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6CF1CC4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评审内容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72089E3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审查标准</w:t>
            </w:r>
          </w:p>
        </w:tc>
      </w:tr>
      <w:tr w14:paraId="5B5BFC28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5C0792F8">
            <w:pPr>
              <w:jc w:val="center"/>
              <w:rPr>
                <w:rFonts w:hint="eastAsia" w:ascii="仿宋_GB2312" w:hAnsi="宋体" w:eastAsia="仿宋_GB2312" w:cs="Times New Roman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资格性</w:t>
            </w:r>
          </w:p>
          <w:p w14:paraId="4B1461B8">
            <w:pPr>
              <w:jc w:val="center"/>
              <w:rPr>
                <w:rFonts w:hint="eastAsia" w:ascii="仿宋_GB2312" w:hAnsi="宋体" w:eastAsia="仿宋_GB2312" w:cs="Times New Roman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审查</w:t>
            </w:r>
          </w:p>
        </w:tc>
        <w:tc>
          <w:tcPr>
            <w:tcW w:w="3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D45C331">
            <w:pPr>
              <w:jc w:val="center"/>
              <w:rPr>
                <w:rFonts w:hint="eastAsia" w:ascii="仿宋_GB2312" w:hAnsi="宋体" w:eastAsia="仿宋_GB2312" w:cs="Times New Roman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营业执照、资质文件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D8564E3">
            <w:pPr>
              <w:jc w:val="center"/>
              <w:rPr>
                <w:rFonts w:hint="eastAsia" w:ascii="仿宋_GB2312" w:hAnsi="宋体" w:eastAsia="仿宋_GB2312" w:cs="Times New Roman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未提供合法有效营业执照</w:t>
            </w: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或资质文件不符合招标文件要求的</w:t>
            </w:r>
          </w:p>
        </w:tc>
      </w:tr>
      <w:tr w14:paraId="2FA88FB5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1417" w:type="dxa"/>
            <w:vMerge w:val="continue"/>
            <w:tcBorders>
              <w:left w:val="outset" w:color="auto" w:sz="6" w:space="0"/>
              <w:bottom w:val="outset" w:color="auto" w:sz="12" w:space="0"/>
              <w:right w:val="outset" w:color="auto" w:sz="6" w:space="0"/>
            </w:tcBorders>
            <w:noWrap w:val="0"/>
            <w:vAlign w:val="center"/>
          </w:tcPr>
          <w:p w14:paraId="5B33BE01">
            <w:pPr>
              <w:jc w:val="center"/>
              <w:rPr>
                <w:rFonts w:hint="eastAsia" w:ascii="仿宋_GB2312" w:hAnsi="宋体" w:eastAsia="仿宋_GB2312" w:cs="Times New Roman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3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E66695B">
            <w:pPr>
              <w:jc w:val="center"/>
              <w:rPr>
                <w:rFonts w:hint="eastAsia" w:ascii="仿宋_GB2312" w:hAnsi="宋体" w:eastAsia="仿宋_GB2312" w:cs="Times New Roman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征信查询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FECE295">
            <w:pPr>
              <w:jc w:val="center"/>
              <w:rPr>
                <w:rFonts w:hint="eastAsia" w:ascii="仿宋_GB2312" w:hAnsi="宋体" w:eastAsia="仿宋_GB2312" w:cs="Times New Roman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信用查询有不良记录（本公告发布之日起，近三年内信用记录中不得有围标串标、合同和经济纠纷记录等）</w:t>
            </w:r>
          </w:p>
        </w:tc>
      </w:tr>
    </w:tbl>
    <w:p w14:paraId="143D38D6">
      <w:pP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</w:p>
    <w:p w14:paraId="76B2ABF5">
      <w:pPr>
        <w:ind w:firstLine="597" w:firstLineChars="199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kern w:val="0"/>
          <w:sz w:val="30"/>
          <w:szCs w:val="30"/>
        </w:rPr>
        <w:t>、技术和商务标评审</w:t>
      </w:r>
    </w:p>
    <w:tbl>
      <w:tblPr>
        <w:tblStyle w:val="6"/>
        <w:tblW w:w="9870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965"/>
        <w:gridCol w:w="900"/>
        <w:gridCol w:w="5010"/>
        <w:gridCol w:w="1110"/>
      </w:tblGrid>
      <w:tr w14:paraId="59B27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85" w:type="dxa"/>
            <w:noWrap w:val="0"/>
            <w:vAlign w:val="center"/>
          </w:tcPr>
          <w:p w14:paraId="347D7F34">
            <w:pPr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序号</w:t>
            </w:r>
          </w:p>
        </w:tc>
        <w:tc>
          <w:tcPr>
            <w:tcW w:w="1965" w:type="dxa"/>
            <w:noWrap w:val="0"/>
            <w:vAlign w:val="center"/>
          </w:tcPr>
          <w:p w14:paraId="30C84545">
            <w:pPr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内容</w:t>
            </w:r>
          </w:p>
        </w:tc>
        <w:tc>
          <w:tcPr>
            <w:tcW w:w="900" w:type="dxa"/>
            <w:noWrap w:val="0"/>
            <w:vAlign w:val="center"/>
          </w:tcPr>
          <w:p w14:paraId="39D7AFD4">
            <w:pPr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分值</w:t>
            </w:r>
          </w:p>
        </w:tc>
        <w:tc>
          <w:tcPr>
            <w:tcW w:w="5010" w:type="dxa"/>
            <w:noWrap w:val="0"/>
            <w:vAlign w:val="center"/>
          </w:tcPr>
          <w:p w14:paraId="72D0BBDF">
            <w:pPr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评分标准</w:t>
            </w:r>
          </w:p>
        </w:tc>
        <w:tc>
          <w:tcPr>
            <w:tcW w:w="1110" w:type="dxa"/>
            <w:noWrap w:val="0"/>
            <w:vAlign w:val="center"/>
          </w:tcPr>
          <w:p w14:paraId="1949D71A">
            <w:pPr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评分</w:t>
            </w:r>
          </w:p>
        </w:tc>
      </w:tr>
      <w:tr w14:paraId="5CEE1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885" w:type="dxa"/>
            <w:noWrap w:val="0"/>
            <w:vAlign w:val="center"/>
          </w:tcPr>
          <w:p w14:paraId="3E9D301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 w14:paraId="4429DEE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投标报价</w:t>
            </w:r>
          </w:p>
        </w:tc>
        <w:tc>
          <w:tcPr>
            <w:tcW w:w="900" w:type="dxa"/>
            <w:noWrap w:val="0"/>
            <w:vAlign w:val="center"/>
          </w:tcPr>
          <w:p w14:paraId="03779B6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5010" w:type="dxa"/>
            <w:noWrap w:val="0"/>
            <w:vAlign w:val="center"/>
          </w:tcPr>
          <w:p w14:paraId="30DAA592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满足招标文件要求且投标报价最低价为评标基准价，得分计算公式：投标报价得分=评标基准价/投标报价×55</w:t>
            </w:r>
          </w:p>
        </w:tc>
        <w:tc>
          <w:tcPr>
            <w:tcW w:w="1110" w:type="dxa"/>
            <w:noWrap w:val="0"/>
            <w:vAlign w:val="center"/>
          </w:tcPr>
          <w:p w14:paraId="0D5D7E3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BD66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885" w:type="dxa"/>
            <w:noWrap w:val="0"/>
            <w:vAlign w:val="center"/>
          </w:tcPr>
          <w:p w14:paraId="61F83AF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65" w:type="dxa"/>
            <w:noWrap w:val="0"/>
            <w:vAlign w:val="center"/>
          </w:tcPr>
          <w:p w14:paraId="393DCE8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施工技术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方案</w:t>
            </w:r>
          </w:p>
        </w:tc>
        <w:tc>
          <w:tcPr>
            <w:tcW w:w="900" w:type="dxa"/>
            <w:noWrap w:val="0"/>
            <w:vAlign w:val="center"/>
          </w:tcPr>
          <w:p w14:paraId="74EBC7B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5010" w:type="dxa"/>
            <w:noWrap w:val="0"/>
            <w:vAlign w:val="center"/>
          </w:tcPr>
          <w:p w14:paraId="666351CD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项目关键问题阐述具体，方案全面详实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科学合理、施工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组织措施全面细致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质保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服务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及施工工期承诺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，优得15-20分，中等得6-14分，方案不详尽或未提供得0-5分</w:t>
            </w:r>
          </w:p>
        </w:tc>
        <w:tc>
          <w:tcPr>
            <w:tcW w:w="1110" w:type="dxa"/>
            <w:noWrap w:val="0"/>
            <w:vAlign w:val="center"/>
          </w:tcPr>
          <w:p w14:paraId="38F2C83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A2A7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6" w:hRule="atLeast"/>
        </w:trPr>
        <w:tc>
          <w:tcPr>
            <w:tcW w:w="885" w:type="dxa"/>
            <w:noWrap w:val="0"/>
            <w:vAlign w:val="center"/>
          </w:tcPr>
          <w:p w14:paraId="7B6BAA5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65" w:type="dxa"/>
            <w:noWrap w:val="0"/>
            <w:vAlign w:val="center"/>
          </w:tcPr>
          <w:p w14:paraId="741EF7F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业绩合同</w:t>
            </w:r>
          </w:p>
        </w:tc>
        <w:tc>
          <w:tcPr>
            <w:tcW w:w="900" w:type="dxa"/>
            <w:noWrap w:val="0"/>
            <w:vAlign w:val="center"/>
          </w:tcPr>
          <w:p w14:paraId="5A876C0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010" w:type="dxa"/>
            <w:noWrap w:val="0"/>
            <w:vAlign w:val="center"/>
          </w:tcPr>
          <w:p w14:paraId="11D3AEDD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公告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发布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之日起上推3年内为准，提供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类似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办公楼墙面粉刷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规模、面积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8400㎡及以上的业绩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合同复印件或扫描件应能辨识双方合同公章、签订时间、金额，并加盖投标人公章；如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业绩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合同不能体现以上全部内容，可提供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业绩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合同甲方加盖公章的证明复印件或扫描件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，若每个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投标人施工业绩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复印件或扫描件不能辨识双方合同公章、签订时间、金额、忘加盖投标人公章、未提供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投标人施工业绩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合同甲方加盖公章的证明复印件或扫描件每一项对应扣减1分，最多扣减不超过5分；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每个业绩5分，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总计得分最多不超过15分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1110" w:type="dxa"/>
            <w:noWrap w:val="0"/>
            <w:vAlign w:val="center"/>
          </w:tcPr>
          <w:p w14:paraId="05A0277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31CCDD4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6C2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885" w:type="dxa"/>
            <w:noWrap w:val="0"/>
            <w:vAlign w:val="center"/>
          </w:tcPr>
          <w:p w14:paraId="40EF50E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65" w:type="dxa"/>
            <w:noWrap w:val="0"/>
            <w:vAlign w:val="center"/>
          </w:tcPr>
          <w:p w14:paraId="3BA14F1F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安全承诺书、安全管理措施及劳动力保障承诺函</w:t>
            </w:r>
          </w:p>
          <w:p w14:paraId="289CDC8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72D785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010" w:type="dxa"/>
            <w:noWrap w:val="0"/>
            <w:vAlign w:val="center"/>
          </w:tcPr>
          <w:p w14:paraId="0177D8AF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安全承诺书、管理措施及劳动力保障科学规范详实得4-5分，安全承诺书、管理措施级劳动力保障较简单，得1-3分，未提供安全承诺书、管理措施及劳动力保障得0分</w:t>
            </w:r>
          </w:p>
        </w:tc>
        <w:tc>
          <w:tcPr>
            <w:tcW w:w="1110" w:type="dxa"/>
            <w:noWrap w:val="0"/>
            <w:vAlign w:val="center"/>
          </w:tcPr>
          <w:p w14:paraId="19E49DC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28F8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885" w:type="dxa"/>
            <w:noWrap w:val="0"/>
            <w:vAlign w:val="center"/>
          </w:tcPr>
          <w:p w14:paraId="47878CA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65" w:type="dxa"/>
            <w:noWrap w:val="0"/>
            <w:vAlign w:val="center"/>
          </w:tcPr>
          <w:p w14:paraId="57B0C0B6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防扬尘、夜间施工措施说明函</w:t>
            </w:r>
          </w:p>
        </w:tc>
        <w:tc>
          <w:tcPr>
            <w:tcW w:w="900" w:type="dxa"/>
            <w:noWrap w:val="0"/>
            <w:vAlign w:val="center"/>
          </w:tcPr>
          <w:p w14:paraId="5195AEB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010" w:type="dxa"/>
            <w:noWrap w:val="0"/>
            <w:vAlign w:val="center"/>
          </w:tcPr>
          <w:p w14:paraId="43ADDF88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提供防扬尘和夜间施工措施说明函得5分，仅提供防扬尘和夜间施工措施说明函中任一项得3分，未提供得0分。</w:t>
            </w:r>
          </w:p>
        </w:tc>
        <w:tc>
          <w:tcPr>
            <w:tcW w:w="1110" w:type="dxa"/>
            <w:noWrap w:val="0"/>
            <w:vAlign w:val="center"/>
          </w:tcPr>
          <w:p w14:paraId="7D6E005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CC03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760" w:type="dxa"/>
            <w:gridSpan w:val="4"/>
            <w:noWrap w:val="0"/>
            <w:vAlign w:val="center"/>
          </w:tcPr>
          <w:p w14:paraId="7F1AE33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综合得分</w:t>
            </w:r>
          </w:p>
        </w:tc>
        <w:tc>
          <w:tcPr>
            <w:tcW w:w="1110" w:type="dxa"/>
            <w:noWrap w:val="0"/>
            <w:vAlign w:val="center"/>
          </w:tcPr>
          <w:p w14:paraId="368F97A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16CB3B78">
      <w:pPr>
        <w:ind w:right="1512"/>
        <w:jc w:val="both"/>
        <w:rPr>
          <w:rFonts w:hint="eastAsia" w:ascii="仿宋_GB2312" w:hAnsi="宋体" w:eastAsia="仿宋_GB2312"/>
          <w:color w:val="000000"/>
          <w:w w:val="90"/>
          <w:sz w:val="30"/>
          <w:szCs w:val="30"/>
        </w:rPr>
      </w:pPr>
    </w:p>
    <w:p w14:paraId="47DFAE82"/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13014"/>
    <w:rsid w:val="09B8491A"/>
    <w:rsid w:val="14236F6F"/>
    <w:rsid w:val="184E03DB"/>
    <w:rsid w:val="1A6A02B5"/>
    <w:rsid w:val="464634AF"/>
    <w:rsid w:val="4AF02C88"/>
    <w:rsid w:val="4E327ABB"/>
    <w:rsid w:val="539806CA"/>
    <w:rsid w:val="57304B9C"/>
    <w:rsid w:val="5CDE7B18"/>
    <w:rsid w:val="5F714808"/>
    <w:rsid w:val="6ED87D9C"/>
    <w:rsid w:val="7C5A17EF"/>
    <w:rsid w:val="7F713014"/>
    <w:rsid w:val="7F9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_GBK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</Company>
  <Pages>3</Pages>
  <Words>758</Words>
  <Characters>779</Characters>
  <Lines>0</Lines>
  <Paragraphs>0</Paragraphs>
  <TotalTime>1</TotalTime>
  <ScaleCrop>false</ScaleCrop>
  <LinksUpToDate>false</LinksUpToDate>
  <CharactersWithSpaces>786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2025-09-03T03:18:00Z</dcterms:created>
  <dc:creator>张伟</dc:creator>
  <cp:lastModifiedBy>刘雪峰</cp:lastModifiedBy>
  <dcterms:modified xsi:type="dcterms:W3CDTF">2025-09-11T01:25:12Z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64618B5AC3864EA7A3D7938B7761AC90_11</vt:lpwstr>
  </property>
  <property fmtid="{D5CDD505-2E9C-101B-9397-08002B2CF9AE}" pid="4" name="KSOTemplateDocerSaveRecord">
    <vt:lpwstr>eyJoZGlkIjoiMTllMjcyM2Y5MzBlNDQ5MDg4ODIwNmRmNTMwZjgxYzYiLCJ1c2VySWQiOiIxNjkyNjU5NTc3In0=</vt:lpwstr>
  </property>
</Properties>
</file>