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BA735">
      <w:pPr>
        <w:jc w:val="center"/>
        <w:rPr>
          <w:rFonts w:hint="eastAsia" w:eastAsia="仿宋_GB2312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kern w:val="0"/>
          <w:sz w:val="36"/>
          <w:szCs w:val="36"/>
        </w:rPr>
        <w:t>评审办法（综合评估法）</w:t>
      </w:r>
    </w:p>
    <w:bookmarkEnd w:id="0"/>
    <w:p w14:paraId="15F4E709">
      <w:pPr>
        <w:ind w:firstLine="744" w:firstLineChars="248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一、资格审查</w:t>
      </w:r>
    </w:p>
    <w:p w14:paraId="22F78A87">
      <w:pPr>
        <w:ind w:right="-1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 </w:t>
      </w:r>
      <w:r>
        <w:rPr>
          <w:rFonts w:hint="eastAsia" w:eastAsia="仿宋_GB2312"/>
          <w:kern w:val="0"/>
          <w:sz w:val="30"/>
          <w:szCs w:val="30"/>
        </w:rPr>
        <w:t>对投标单位资格性进行审查，结论分为“合格”与“不合格”，评审不合格的投标文件不再进行后续评审。</w:t>
      </w:r>
    </w:p>
    <w:p w14:paraId="26F1EA23">
      <w:pPr>
        <w:ind w:firstLine="597" w:firstLineChars="199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有下列情形之一的，应做无效投标处理：</w:t>
      </w:r>
    </w:p>
    <w:tbl>
      <w:tblPr>
        <w:tblStyle w:val="2"/>
        <w:tblW w:w="9291" w:type="dxa"/>
        <w:tblInd w:w="284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128"/>
        <w:gridCol w:w="4746"/>
      </w:tblGrid>
      <w:tr w14:paraId="681FB19D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5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9FFC50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4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22CA85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审查标准</w:t>
            </w:r>
          </w:p>
        </w:tc>
      </w:tr>
      <w:tr w14:paraId="715C194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184D27FB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资格性</w:t>
            </w:r>
          </w:p>
          <w:p w14:paraId="703D7970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</w:t>
            </w:r>
          </w:p>
        </w:tc>
        <w:tc>
          <w:tcPr>
            <w:tcW w:w="3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E3DAD5">
            <w:pPr>
              <w:jc w:val="center"/>
              <w:rPr>
                <w:rFonts w:eastAsia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highlight w:val="none"/>
              </w:rPr>
              <w:t>营业执照</w:t>
            </w:r>
          </w:p>
        </w:tc>
        <w:tc>
          <w:tcPr>
            <w:tcW w:w="4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382185">
            <w:pPr>
              <w:jc w:val="center"/>
              <w:rPr>
                <w:rFonts w:eastAsia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highlight w:val="none"/>
              </w:rPr>
              <w:t>营业执照是否合法有效</w:t>
            </w:r>
            <w:r>
              <w:rPr>
                <w:rFonts w:hint="eastAsia" w:eastAsia="仿宋_GB2312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30"/>
                <w:szCs w:val="30"/>
                <w:highlight w:val="none"/>
                <w:lang w:val="en-US" w:eastAsia="zh-CN"/>
              </w:rPr>
              <w:t>智能化系统集成等相关经营范围</w:t>
            </w:r>
            <w:r>
              <w:rPr>
                <w:rFonts w:hint="eastAsia" w:eastAsia="仿宋_GB2312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</w:tr>
      <w:tr w14:paraId="518A8BF0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12" w:space="0"/>
              <w:right w:val="outset" w:color="auto" w:sz="6" w:space="0"/>
            </w:tcBorders>
            <w:noWrap w:val="0"/>
            <w:vAlign w:val="center"/>
          </w:tcPr>
          <w:p w14:paraId="4D68821D"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1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01A682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征信查询</w:t>
            </w:r>
          </w:p>
        </w:tc>
        <w:tc>
          <w:tcPr>
            <w:tcW w:w="4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A84B76">
            <w:pPr>
              <w:jc w:val="center"/>
              <w:rPr>
                <w:rFonts w:hint="eastAsia" w:ascii="Calibri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0"/>
                <w:szCs w:val="30"/>
                <w:lang w:val="en-US" w:eastAsia="zh-CN"/>
              </w:rPr>
              <w:t>信用</w:t>
            </w:r>
            <w:r>
              <w:rPr>
                <w:rFonts w:hint="eastAsia" w:ascii="Calibri" w:hAnsi="Calibri" w:eastAsia="仿宋_GB2312" w:cs="Times New Roman"/>
                <w:kern w:val="0"/>
                <w:sz w:val="30"/>
                <w:szCs w:val="30"/>
              </w:rPr>
              <w:t>查询有不良记录</w:t>
            </w:r>
            <w:r>
              <w:rPr>
                <w:rFonts w:hint="eastAsia" w:ascii="Calibri" w:hAnsi="Calibri" w:eastAsia="仿宋_GB2312" w:cs="Times New Roman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kern w:val="0"/>
                <w:sz w:val="30"/>
                <w:szCs w:val="30"/>
                <w:lang w:val="en-US" w:eastAsia="zh-CN"/>
              </w:rPr>
              <w:t>本公告发布之日起，近三年内信用记录中不得有围标串标、合同和经济纠纷记录等</w:t>
            </w:r>
          </w:p>
        </w:tc>
      </w:tr>
    </w:tbl>
    <w:p w14:paraId="1F4296A6">
      <w:pPr>
        <w:ind w:left="3372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567AD006"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技术和商务标评审</w:t>
      </w:r>
    </w:p>
    <w:p w14:paraId="5EAD4653">
      <w:pPr>
        <w:wordWrap w:val="0"/>
        <w:jc w:val="right"/>
        <w:rPr>
          <w:rFonts w:eastAsia="仿宋_GB2312"/>
          <w:kern w:val="0"/>
          <w:sz w:val="18"/>
          <w:szCs w:val="18"/>
        </w:rPr>
      </w:pPr>
    </w:p>
    <w:tbl>
      <w:tblPr>
        <w:tblStyle w:val="2"/>
        <w:tblW w:w="95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98"/>
        <w:gridCol w:w="911"/>
        <w:gridCol w:w="4954"/>
        <w:gridCol w:w="1785"/>
      </w:tblGrid>
      <w:tr w14:paraId="733F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7" w:type="dxa"/>
            <w:noWrap w:val="0"/>
            <w:vAlign w:val="center"/>
          </w:tcPr>
          <w:p w14:paraId="0495CD66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998" w:type="dxa"/>
            <w:noWrap w:val="0"/>
            <w:vAlign w:val="center"/>
          </w:tcPr>
          <w:p w14:paraId="76C96460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内容</w:t>
            </w:r>
          </w:p>
        </w:tc>
        <w:tc>
          <w:tcPr>
            <w:tcW w:w="911" w:type="dxa"/>
            <w:noWrap w:val="0"/>
            <w:vAlign w:val="center"/>
          </w:tcPr>
          <w:p w14:paraId="33399252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分值</w:t>
            </w:r>
          </w:p>
        </w:tc>
        <w:tc>
          <w:tcPr>
            <w:tcW w:w="4954" w:type="dxa"/>
            <w:noWrap w:val="0"/>
            <w:vAlign w:val="center"/>
          </w:tcPr>
          <w:p w14:paraId="34DC0C10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评分标准</w:t>
            </w:r>
          </w:p>
        </w:tc>
        <w:tc>
          <w:tcPr>
            <w:tcW w:w="1785" w:type="dxa"/>
            <w:noWrap w:val="0"/>
            <w:vAlign w:val="center"/>
          </w:tcPr>
          <w:p w14:paraId="0A516416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评分</w:t>
            </w:r>
          </w:p>
        </w:tc>
      </w:tr>
      <w:tr w14:paraId="52BA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7" w:type="dxa"/>
            <w:noWrap w:val="0"/>
            <w:vAlign w:val="center"/>
          </w:tcPr>
          <w:p w14:paraId="5B5C33D3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998" w:type="dxa"/>
            <w:noWrap w:val="0"/>
            <w:vAlign w:val="center"/>
          </w:tcPr>
          <w:p w14:paraId="07DB868F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方案</w:t>
            </w:r>
          </w:p>
        </w:tc>
        <w:tc>
          <w:tcPr>
            <w:tcW w:w="911" w:type="dxa"/>
            <w:noWrap w:val="0"/>
            <w:vAlign w:val="center"/>
          </w:tcPr>
          <w:p w14:paraId="4C10A205"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4954" w:type="dxa"/>
            <w:noWrap w:val="0"/>
            <w:vAlign w:val="center"/>
          </w:tcPr>
          <w:p w14:paraId="08D8BD83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提供技术资料且全部满足招标清单中参数要求的，得20分，提供技术资料不完善的，得1-15分；未提供技术支持资料不得分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  <w:tc>
          <w:tcPr>
            <w:tcW w:w="1785" w:type="dxa"/>
            <w:noWrap w:val="0"/>
            <w:vAlign w:val="center"/>
          </w:tcPr>
          <w:p w14:paraId="05A6B37A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</w:p>
        </w:tc>
      </w:tr>
      <w:tr w14:paraId="6051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07" w:type="dxa"/>
            <w:noWrap w:val="0"/>
            <w:vAlign w:val="center"/>
          </w:tcPr>
          <w:p w14:paraId="2CE3D1F7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998" w:type="dxa"/>
            <w:noWrap w:val="0"/>
            <w:vAlign w:val="center"/>
          </w:tcPr>
          <w:p w14:paraId="782E0C1B"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业绩合同</w:t>
            </w:r>
          </w:p>
        </w:tc>
        <w:tc>
          <w:tcPr>
            <w:tcW w:w="911" w:type="dxa"/>
            <w:noWrap w:val="0"/>
            <w:vAlign w:val="center"/>
          </w:tcPr>
          <w:p w14:paraId="7B496223"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4954" w:type="dxa"/>
            <w:noWrap w:val="0"/>
            <w:vAlign w:val="center"/>
          </w:tcPr>
          <w:p w14:paraId="061DB7A6">
            <w:pPr>
              <w:ind w:left="-2" w:leftChars="-1" w:firstLine="2" w:firstLineChars="1"/>
              <w:jc w:val="left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公告发布之日起上推3年内为准，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提供类似的车辆道闸系统施工的业绩合同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，合同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复印件或扫描件应能辨识双方合同公章、签订时间、金额，并加盖投标人公章；如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合同不能体现以上全部内容，可提供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合同甲方加盖公章的证明复印件或扫描件，若每个投标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单位业绩合同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复印件或扫描件不能辨识双方合同公章、签订时间、金额、忘加盖投标人公章、未提供投标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单位业绩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合同甲方加盖公章的证明复印件或扫描件每一项对应扣减1分，最多扣减不超过5分；每个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业绩合同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5分，总计得分最多不超过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分。</w:t>
            </w:r>
          </w:p>
        </w:tc>
        <w:tc>
          <w:tcPr>
            <w:tcW w:w="1785" w:type="dxa"/>
            <w:noWrap w:val="0"/>
            <w:vAlign w:val="center"/>
          </w:tcPr>
          <w:p w14:paraId="256F80B4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</w:p>
          <w:p w14:paraId="223549A4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</w:p>
        </w:tc>
      </w:tr>
      <w:tr w14:paraId="42FE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07" w:type="dxa"/>
            <w:noWrap w:val="0"/>
            <w:vAlign w:val="center"/>
          </w:tcPr>
          <w:p w14:paraId="062CF14B"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998" w:type="dxa"/>
            <w:noWrap w:val="0"/>
            <w:vAlign w:val="center"/>
          </w:tcPr>
          <w:p w14:paraId="7844FC69"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售后服务</w:t>
            </w:r>
          </w:p>
        </w:tc>
        <w:tc>
          <w:tcPr>
            <w:tcW w:w="911" w:type="dxa"/>
            <w:noWrap w:val="0"/>
            <w:vAlign w:val="center"/>
          </w:tcPr>
          <w:p w14:paraId="178525DB"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4954" w:type="dxa"/>
            <w:noWrap w:val="0"/>
            <w:vAlign w:val="center"/>
          </w:tcPr>
          <w:p w14:paraId="2E021CD9">
            <w:pPr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（1）本地化售后服务要求：投标产品制造厂家或供应商设立了健全的售后服务机构网点，有详细的售后服务机构名单、地址、服务电话和维修人员名单等。在芜湖市能提供本地化售后服务的，得5分；在芜湖市能提供委托本地化售后服务的，得2分；未提供的不得分。</w:t>
            </w:r>
          </w:p>
          <w:p w14:paraId="6AAAF988">
            <w:pPr>
              <w:ind w:left="-2" w:leftChars="-1" w:firstLine="2" w:firstLineChars="1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（2）售后服务方案：售后服务方案中保修内容及范围满足该项目清单要求的得5分；满足部分项目清单要求或未提供售后服务方案的不得分。</w:t>
            </w:r>
          </w:p>
          <w:p w14:paraId="2963AFC9">
            <w:pPr>
              <w:ind w:left="-2" w:leftChars="-1" w:firstLine="2" w:firstLineChars="1"/>
              <w:jc w:val="left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（3）质保服务方案：提供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硬件和软件产品原厂免费质保3年承诺函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，得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分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硬件和软件产品原厂免费质保承诺函不满足3年要求或</w:t>
            </w: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未提供售后服务方案的不得分。</w:t>
            </w:r>
          </w:p>
          <w:p w14:paraId="4BC6751C">
            <w:pPr>
              <w:ind w:left="-2" w:leftChars="-1" w:firstLine="2" w:firstLineChars="1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故障维修服务：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故障维修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服务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并承诺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遇到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车辆道闸系统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故障（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小时内）赶到现场实施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维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修得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分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故障维修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服务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并承诺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遇到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车辆道闸系统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故障（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小时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以上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）赶到现场实施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维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未提供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故障维修</w:t>
            </w: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服务不得分。</w:t>
            </w:r>
          </w:p>
        </w:tc>
        <w:tc>
          <w:tcPr>
            <w:tcW w:w="1785" w:type="dxa"/>
            <w:noWrap w:val="0"/>
            <w:vAlign w:val="center"/>
          </w:tcPr>
          <w:p w14:paraId="3F242D80">
            <w:pPr>
              <w:ind w:left="-2" w:leftChars="-1" w:firstLine="2" w:firstLineChars="1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</w:rPr>
            </w:pPr>
          </w:p>
          <w:p w14:paraId="791AD455">
            <w:pPr>
              <w:ind w:left="-2" w:leftChars="-1" w:firstLine="2" w:firstLineChars="1"/>
              <w:jc w:val="left"/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</w:rPr>
            </w:pPr>
          </w:p>
        </w:tc>
      </w:tr>
      <w:tr w14:paraId="44DE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07" w:type="dxa"/>
            <w:noWrap w:val="0"/>
            <w:vAlign w:val="center"/>
          </w:tcPr>
          <w:p w14:paraId="14E7DC76">
            <w:pPr>
              <w:jc w:val="center"/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998" w:type="dxa"/>
            <w:noWrap w:val="0"/>
            <w:vAlign w:val="center"/>
          </w:tcPr>
          <w:p w14:paraId="3FCF944A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投标报价</w:t>
            </w:r>
          </w:p>
        </w:tc>
        <w:tc>
          <w:tcPr>
            <w:tcW w:w="911" w:type="dxa"/>
            <w:noWrap w:val="0"/>
            <w:vAlign w:val="center"/>
          </w:tcPr>
          <w:p w14:paraId="1A4B7D3C">
            <w:pPr>
              <w:jc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  <w:tc>
          <w:tcPr>
            <w:tcW w:w="4954" w:type="dxa"/>
            <w:noWrap w:val="0"/>
            <w:vAlign w:val="center"/>
          </w:tcPr>
          <w:p w14:paraId="3E4DAFF5">
            <w:pPr>
              <w:widowControl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w w:val="90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0"/>
                <w:sz w:val="30"/>
                <w:szCs w:val="30"/>
                <w:highlight w:val="none"/>
                <w:lang w:val="en-US" w:eastAsia="zh-CN"/>
              </w:rPr>
              <w:t>满足招标文件要求且投标报价最低价为评标基准价，得分计算公式：投标报价得分=评标基准价/投标报价×45</w:t>
            </w:r>
          </w:p>
        </w:tc>
        <w:tc>
          <w:tcPr>
            <w:tcW w:w="1785" w:type="dxa"/>
            <w:noWrap w:val="0"/>
            <w:vAlign w:val="center"/>
          </w:tcPr>
          <w:p w14:paraId="7BDCE9AB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</w:p>
        </w:tc>
      </w:tr>
      <w:tr w14:paraId="50FE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770" w:type="dxa"/>
            <w:gridSpan w:val="4"/>
            <w:noWrap w:val="0"/>
            <w:vAlign w:val="center"/>
          </w:tcPr>
          <w:p w14:paraId="073BB316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  <w:t>综合得分</w:t>
            </w:r>
          </w:p>
        </w:tc>
        <w:tc>
          <w:tcPr>
            <w:tcW w:w="1785" w:type="dxa"/>
            <w:noWrap w:val="0"/>
            <w:vAlign w:val="center"/>
          </w:tcPr>
          <w:p w14:paraId="14F02C81">
            <w:pPr>
              <w:jc w:val="center"/>
              <w:rPr>
                <w:rFonts w:ascii="仿宋_GB2312" w:hAnsi="宋体" w:eastAsia="仿宋_GB2312"/>
                <w:color w:val="000000"/>
                <w:w w:val="90"/>
                <w:sz w:val="30"/>
                <w:szCs w:val="30"/>
                <w:highlight w:val="none"/>
              </w:rPr>
            </w:pPr>
          </w:p>
        </w:tc>
      </w:tr>
    </w:tbl>
    <w:p w14:paraId="0B1F82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9ECC2"/>
    <w:multiLevelType w:val="singleLevel"/>
    <w:tmpl w:val="6909EC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635EC"/>
    <w:rsid w:val="74E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2025-09-15T06:44:00Z</dcterms:created>
  <dc:creator>刘雪峰</dc:creator>
  <cp:lastModifiedBy>刘雪峰</cp:lastModifiedBy>
  <dcterms:modified xsi:type="dcterms:W3CDTF">2025-09-15T06:45:12Z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C61929F8B0CF4A68925025035C70CE30_11</vt:lpwstr>
  </property>
  <property fmtid="{D5CDD505-2E9C-101B-9397-08002B2CF9AE}" pid="4" name="KSOTemplateDocerSaveRecord">
    <vt:lpwstr>eyJoZGlkIjoiMTllMjcyM2Y5MzBlNDQ5MDg4ODIwNmRmNTMwZjgxYzYiLCJ1c2VySWQiOiIxNjkyNjU5NTc3In0=</vt:lpwstr>
  </property>
</Properties>
</file>