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 xml:space="preserve"> 评审办法（综合评估法）</w:t>
      </w:r>
    </w:p>
    <w:p>
      <w:pPr>
        <w:ind w:firstLine="744" w:firstLineChars="248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一、资格审查</w:t>
      </w:r>
    </w:p>
    <w:p>
      <w:pPr>
        <w:ind w:right="-1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 xml:space="preserve">    </w:t>
      </w:r>
      <w:r>
        <w:rPr>
          <w:rFonts w:hint="eastAsia" w:eastAsia="仿宋_GB2312"/>
          <w:kern w:val="0"/>
          <w:sz w:val="30"/>
          <w:szCs w:val="30"/>
        </w:rPr>
        <w:t>对投标单位资格性进行审查，结论分为“合格”与“不合格”，评审不合格的投标文件不再进行后续评审。</w:t>
      </w:r>
    </w:p>
    <w:p>
      <w:pPr>
        <w:ind w:firstLine="597" w:firstLineChars="199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有下列情形之一的，应做无效投标处理：</w:t>
      </w:r>
    </w:p>
    <w:tbl>
      <w:tblPr>
        <w:tblStyle w:val="2"/>
        <w:tblW w:w="9291" w:type="dxa"/>
        <w:tblInd w:w="284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3128"/>
        <w:gridCol w:w="4746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5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评审内容</w:t>
            </w:r>
          </w:p>
        </w:tc>
        <w:tc>
          <w:tcPr>
            <w:tcW w:w="4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审查标准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资格性</w:t>
            </w:r>
          </w:p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审查</w:t>
            </w:r>
          </w:p>
        </w:tc>
        <w:tc>
          <w:tcPr>
            <w:tcW w:w="3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营业执照</w:t>
            </w:r>
          </w:p>
        </w:tc>
        <w:tc>
          <w:tcPr>
            <w:tcW w:w="4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营业执照是否合法有效</w:t>
            </w:r>
            <w:r>
              <w:rPr>
                <w:rFonts w:eastAsia="仿宋_GB2312"/>
                <w:kern w:val="0"/>
                <w:sz w:val="28"/>
                <w:szCs w:val="28"/>
              </w:rPr>
              <w:tab/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417" w:type="dxa"/>
            <w:vMerge w:val="continue"/>
            <w:tcBorders>
              <w:left w:val="outset" w:color="auto" w:sz="6" w:space="0"/>
              <w:bottom w:val="outset" w:color="auto" w:sz="12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征信查询</w:t>
            </w:r>
          </w:p>
        </w:tc>
        <w:tc>
          <w:tcPr>
            <w:tcW w:w="4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信用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查询有不良记录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本公告发布之日起，近三年内信用记录中不得有围标串标、合同和经济纠纷记录等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30"/>
          <w:szCs w:val="30"/>
        </w:rPr>
        <w:t>技术和商务标评审</w:t>
      </w:r>
    </w:p>
    <w:p>
      <w:pPr>
        <w:wordWrap w:val="0"/>
        <w:jc w:val="right"/>
        <w:rPr>
          <w:rFonts w:eastAsia="仿宋_GB2312"/>
          <w:kern w:val="0"/>
          <w:sz w:val="18"/>
          <w:szCs w:val="18"/>
        </w:rPr>
      </w:pPr>
    </w:p>
    <w:tbl>
      <w:tblPr>
        <w:tblStyle w:val="2"/>
        <w:tblW w:w="95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98"/>
        <w:gridCol w:w="911"/>
        <w:gridCol w:w="4954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序号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内容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分值</w:t>
            </w:r>
          </w:p>
        </w:tc>
        <w:tc>
          <w:tcPr>
            <w:tcW w:w="49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评分标准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  <w:t>投标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  <w:t>报价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tabs>
                <w:tab w:val="center" w:pos="401"/>
                <w:tab w:val="left" w:pos="598"/>
              </w:tabs>
              <w:jc w:val="left"/>
              <w:rPr>
                <w:rFonts w:hint="default" w:ascii="仿宋_GB2312" w:hAnsi="宋体" w:eastAsia="仿宋_GB2312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95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>满足招标文件要求且投标报价最低价为评标基准价，得分计算公式：投标报价得分=评标基准价/投标报价×50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业绩</w:t>
            </w:r>
          </w:p>
          <w:p>
            <w:pPr>
              <w:jc w:val="center"/>
              <w:rPr>
                <w:rFonts w:hint="default" w:ascii="仿宋_GB2312" w:hAnsi="宋体" w:eastAsia="仿宋_GB2312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合同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w w:val="9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54" w:type="dxa"/>
            <w:noWrap w:val="0"/>
            <w:vAlign w:val="center"/>
          </w:tcPr>
          <w:p>
            <w:pPr>
              <w:ind w:left="-2" w:leftChars="-1" w:firstLine="2" w:firstLineChars="1"/>
              <w:jc w:val="left"/>
              <w:rPr>
                <w:rFonts w:hint="eastAsia" w:ascii="仿宋_GB2312" w:hAnsi="宋体" w:eastAsia="仿宋_GB2312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  <w:t>公告发布之日起上推3年内为准，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提</w:t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lang w:val="en-US" w:eastAsia="zh-CN"/>
              </w:rPr>
              <w:t>供相同及以上规模</w:t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  <w:t>类似</w:t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lang w:val="en-US" w:eastAsia="zh-CN"/>
              </w:rPr>
              <w:t>智能化项目业绩，合同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  <w:t>复印件或扫描件应能辨识双方合同公章、签订时间、金额，并加盖投标人公章；如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业绩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  <w:t>合同不能体现以上全部内容，可提供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业绩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  <w:t>合同甲方加盖公章的证明复印件或扫描件，若每个投标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单位业绩合同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  <w:t>复印件或扫描件不能辨识双方合同公章、签订时间、金额、忘加盖投标人公章、未提供投标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单位业绩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  <w:t>合同甲方加盖公章的证明复印件或扫描件每一项对应扣减1分，最多扣减不超过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  <w:t>分；每个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业绩合同4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  <w:t>分，总计得分最多不超过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  <w:t>分。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实施</w:t>
            </w:r>
          </w:p>
          <w:p>
            <w:pPr>
              <w:jc w:val="center"/>
              <w:rPr>
                <w:rFonts w:hint="default" w:ascii="仿宋_GB2312" w:hAnsi="宋体" w:eastAsia="仿宋_GB2312"/>
                <w:color w:val="000000"/>
                <w:w w:val="9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方案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宋体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lang w:val="en-US" w:eastAsia="zh-CN"/>
              </w:rPr>
              <w:t xml:space="preserve">提供监控系统维修实施方案（含提供完成的监控点位图及拓扑图；所有设备的系统账号密码和配置等）；网络整改实施方案（含提供完成的网络拓扑图及网络规划方案；所有设备的系统账号密码和配置等）；LED屏实施方案（含更换所有LED屏幕显示模组；1年质保）；水电表施工方案（含提供完成的拓扑图及点位图；水电表更换及恢复抄表软件的读取功能等内容）；每提供一个实施方案内容覆盖全面、要点突出、针对性强，内容完整详实，表述清晰，利于项目实施的，每个方案可得 4分；方案内容覆盖较为全面、要点较为突出、针对性较强，较利于项目实施的，每个方案可得 2分； 方案内容不完善或未提供的不得分。 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default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力量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4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lang w:val="en-US" w:eastAsia="zh-CN"/>
              </w:rPr>
              <w:t>公司技术人员（指定维修人员且购买社保并持有智能化工程相关资格证书），得5-7分；仅提供指定维修人员或指定维修人员投标单位未购买社保，未持有智能化工程相关资格证书得1-4分；未指定维修人员不得分。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0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售后服务方案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495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>（1）本地化售后服务要求：</w:t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lang w:val="en-US" w:eastAsia="zh-CN"/>
              </w:rPr>
              <w:t>投标产品制造厂家或供应商设立了健全的售后服务机构网点，有详细的售后服务机构名单、地址、服务电话和维修人员名单等。在芜湖市能提供本地化售后服务的，得5分；在芜湖市能提供委托本地化售后服务的，得3 分；未提供的不得分。</w:t>
            </w:r>
          </w:p>
          <w:p>
            <w:pPr>
              <w:ind w:left="-2" w:leftChars="-1" w:firstLine="2" w:firstLineChars="1"/>
              <w:jc w:val="left"/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lang w:val="en-US" w:eastAsia="zh-CN"/>
              </w:rPr>
              <w:t>（2）质保服务方案：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>提</w:t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>供所有投标产品免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>费质保1年承诺函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</w:rPr>
              <w:t>，得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</w:rPr>
              <w:t>分，</w:t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lang w:val="en-US" w:eastAsia="zh-CN"/>
              </w:rPr>
              <w:t>未提供质保服务方案的不得分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</w:rPr>
              <w:t>。</w:t>
            </w:r>
          </w:p>
          <w:p>
            <w:pPr>
              <w:ind w:left="-2" w:leftChars="-1" w:firstLine="2" w:firstLineChars="1"/>
              <w:jc w:val="left"/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故障维修服务：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  <w:t>提供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故障维修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  <w:t>服务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lang w:val="en-US" w:eastAsia="zh-CN"/>
              </w:rPr>
              <w:t>并承诺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</w:rPr>
              <w:t>遇到故障（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</w:rPr>
              <w:t>小时内）赶到现场实施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>维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</w:rPr>
              <w:t>修得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</w:rPr>
              <w:t>分，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>故障维修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</w:rPr>
              <w:t>时间过长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>5小时及以上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</w:rPr>
              <w:t>或未提供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>故障维修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  <w:t>服务不得分。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ind w:left="-2" w:leftChars="-1" w:firstLine="2" w:firstLineChars="1"/>
              <w:jc w:val="left"/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</w:rPr>
            </w:pPr>
          </w:p>
          <w:p>
            <w:pPr>
              <w:ind w:left="-2" w:leftChars="-1" w:firstLine="2" w:firstLineChars="1"/>
              <w:jc w:val="left"/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7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8"/>
                <w:szCs w:val="28"/>
              </w:rPr>
              <w:t>综合得分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E380B"/>
    <w:rsid w:val="43B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2024-02-01T02:02:00Z</dcterms:created>
  <dc:creator>舒婷</dc:creator>
  <cp:lastModifiedBy>舒婷</cp:lastModifiedBy>
  <dcterms:modified xsi:type="dcterms:W3CDTF">2024-02-01T02:02:34Z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