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评审办法（综合评估法）</w:t>
      </w:r>
    </w:p>
    <w:p>
      <w:pPr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评审不合格的投标文件不再进行后续评审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9072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261"/>
        <w:gridCol w:w="439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资格性</w:t>
            </w:r>
          </w:p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营业执照、资质文件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未提供合法有效营业执照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或资质文件不符合招标文件要求的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征信查询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center" w:pos="2378"/>
              </w:tabs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查询有不良记录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本公告发布之日起，近三年内信用记录中不得有围标串标、合同和经济纠纷记录等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0"/>
          <w:szCs w:val="30"/>
        </w:rPr>
        <w:t>、技术和商务标评审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900"/>
        <w:gridCol w:w="50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内容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分值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满足招标文件要求且投标报价最低价为评标基准价，得分计算公式：投标报价得分=评标基准价/投标报价×55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投标人业绩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之日起上推3年内为准，提供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沥青混泥土地面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规模、面积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合同复印件或扫描件应能辨识双方合同公章、签订时间、金额，并加盖投标人公章；如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合同不能体现以上全部内容，可提供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合同甲方加盖公章的证明复印件或扫描件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，若每个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复印件或扫描件不能辨识双方合同公章、签订时间、金额、忘加盖投标人公章、未提供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合同甲方加盖公章的证明复印件或扫描件每一项对应扣减1分，最多扣减不超过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每个业绩3分，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总计得分最多不超过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施工技术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项目关键问题阐述具体，方案全面详实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科学合理、施工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组织措施全面细致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质保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及施工工期承诺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，优得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分，中等得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分，方案不详尽或未提供得0-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防扬尘、环保及夜间施工措施说明函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提供防扬尘和夜间施工措施说明函规范详实得4-6分，较简单，得1-3分，未提供得0分。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售后服务承诺函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售后服务承诺函规范详实得1-2分，较简单或未提供得0分。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7E36"/>
    <w:rsid w:val="7A1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2023-09-07T00:36:00Z</dcterms:created>
  <dc:creator>舒婷</dc:creator>
  <cp:lastModifiedBy>舒婷</cp:lastModifiedBy>
  <dcterms:modified xsi:type="dcterms:W3CDTF">2023-09-07T00:40:10Z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