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仿宋_GB2312"/>
          <w:b/>
          <w:bCs/>
          <w:kern w:val="0"/>
          <w:sz w:val="36"/>
          <w:szCs w:val="36"/>
          <w:highlight w:val="none"/>
        </w:rPr>
      </w:pPr>
      <w:r>
        <w:rPr>
          <w:rFonts w:hint="eastAsia" w:ascii="方正小标宋_GBK" w:hAnsi="宋体" w:eastAsia="方正小标宋_GBK"/>
          <w:kern w:val="0"/>
          <w:sz w:val="36"/>
          <w:szCs w:val="36"/>
          <w:highlight w:val="none"/>
        </w:rPr>
        <w:t>评审办法（综合评估法）</w:t>
      </w:r>
    </w:p>
    <w:p>
      <w:pPr>
        <w:ind w:firstLine="744" w:firstLineChars="248"/>
        <w:rPr>
          <w:rFonts w:hint="eastAsia" w:ascii="黑体" w:hAnsi="黑体" w:eastAsia="黑体" w:cs="黑体"/>
          <w:kern w:val="0"/>
          <w:sz w:val="30"/>
          <w:szCs w:val="30"/>
          <w:highlight w:val="none"/>
        </w:rPr>
      </w:pPr>
      <w:r>
        <w:rPr>
          <w:rFonts w:hint="eastAsia" w:ascii="黑体" w:hAnsi="黑体" w:eastAsia="黑体" w:cs="黑体"/>
          <w:kern w:val="0"/>
          <w:sz w:val="30"/>
          <w:szCs w:val="30"/>
          <w:highlight w:val="none"/>
        </w:rPr>
        <w:t>一、资格审查</w:t>
      </w:r>
    </w:p>
    <w:p>
      <w:pPr>
        <w:ind w:right="-1"/>
        <w:jc w:val="left"/>
        <w:rPr>
          <w:rFonts w:hint="eastAsia" w:eastAsia="仿宋_GB2312"/>
          <w:kern w:val="0"/>
          <w:sz w:val="30"/>
          <w:szCs w:val="30"/>
          <w:highlight w:val="none"/>
        </w:rPr>
      </w:pPr>
      <w:r>
        <w:rPr>
          <w:rFonts w:hint="eastAsia" w:ascii="楷体" w:hAnsi="楷体" w:eastAsia="楷体" w:cs="楷体"/>
          <w:kern w:val="0"/>
          <w:sz w:val="30"/>
          <w:szCs w:val="30"/>
          <w:highlight w:val="none"/>
        </w:rPr>
        <w:t xml:space="preserve">    </w:t>
      </w:r>
      <w:r>
        <w:rPr>
          <w:rFonts w:hint="eastAsia" w:eastAsia="仿宋_GB2312"/>
          <w:kern w:val="0"/>
          <w:sz w:val="30"/>
          <w:szCs w:val="30"/>
          <w:highlight w:val="none"/>
        </w:rPr>
        <w:t>对投标单位资格性进行审查，结论分为“合格”与“不合格”，评审不合格的投标文件不再进行后续评审。</w:t>
      </w:r>
    </w:p>
    <w:p>
      <w:pPr>
        <w:ind w:firstLine="597" w:firstLineChars="199"/>
        <w:rPr>
          <w:rFonts w:eastAsia="仿宋_GB2312"/>
          <w:kern w:val="0"/>
          <w:sz w:val="30"/>
          <w:szCs w:val="30"/>
          <w:highlight w:val="none"/>
        </w:rPr>
      </w:pPr>
      <w:r>
        <w:rPr>
          <w:rFonts w:hint="eastAsia" w:eastAsia="仿宋_GB2312"/>
          <w:kern w:val="0"/>
          <w:sz w:val="30"/>
          <w:szCs w:val="30"/>
          <w:highlight w:val="none"/>
        </w:rPr>
        <w:t>有下列情形之一的，应做无效投标处理：</w:t>
      </w:r>
    </w:p>
    <w:tbl>
      <w:tblPr>
        <w:tblStyle w:val="2"/>
        <w:tblW w:w="9291" w:type="dxa"/>
        <w:tblInd w:w="284"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417"/>
        <w:gridCol w:w="3128"/>
        <w:gridCol w:w="474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55" w:hRule="atLeast"/>
        </w:trPr>
        <w:tc>
          <w:tcPr>
            <w:tcW w:w="4545"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eastAsia="仿宋_GB2312"/>
                <w:kern w:val="0"/>
                <w:sz w:val="30"/>
                <w:szCs w:val="30"/>
                <w:highlight w:val="none"/>
              </w:rPr>
            </w:pPr>
            <w:r>
              <w:rPr>
                <w:rFonts w:hint="eastAsia" w:eastAsia="仿宋_GB2312"/>
                <w:kern w:val="0"/>
                <w:sz w:val="30"/>
                <w:szCs w:val="30"/>
                <w:highlight w:val="none"/>
              </w:rPr>
              <w:t>评审内容</w:t>
            </w:r>
          </w:p>
        </w:tc>
        <w:tc>
          <w:tcPr>
            <w:tcW w:w="4746" w:type="dxa"/>
            <w:tcBorders>
              <w:top w:val="outset" w:color="auto" w:sz="6" w:space="0"/>
              <w:left w:val="outset" w:color="auto" w:sz="6" w:space="0"/>
              <w:bottom w:val="outset" w:color="auto" w:sz="6" w:space="0"/>
              <w:right w:val="outset" w:color="auto" w:sz="6" w:space="0"/>
            </w:tcBorders>
            <w:noWrap w:val="0"/>
            <w:vAlign w:val="center"/>
          </w:tcPr>
          <w:p>
            <w:pPr>
              <w:jc w:val="center"/>
              <w:rPr>
                <w:rFonts w:eastAsia="仿宋_GB2312"/>
                <w:kern w:val="0"/>
                <w:sz w:val="30"/>
                <w:szCs w:val="30"/>
                <w:highlight w:val="none"/>
              </w:rPr>
            </w:pPr>
            <w:r>
              <w:rPr>
                <w:rFonts w:hint="eastAsia" w:eastAsia="仿宋_GB2312"/>
                <w:kern w:val="0"/>
                <w:sz w:val="30"/>
                <w:szCs w:val="30"/>
                <w:highlight w:val="none"/>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32" w:hRule="atLeast"/>
        </w:trPr>
        <w:tc>
          <w:tcPr>
            <w:tcW w:w="1417" w:type="dxa"/>
            <w:vMerge w:val="restart"/>
            <w:tcBorders>
              <w:top w:val="outset" w:color="auto" w:sz="6" w:space="0"/>
              <w:left w:val="outset" w:color="auto" w:sz="6" w:space="0"/>
              <w:right w:val="outset" w:color="auto" w:sz="6" w:space="0"/>
            </w:tcBorders>
            <w:noWrap w:val="0"/>
            <w:vAlign w:val="center"/>
          </w:tcPr>
          <w:p>
            <w:pPr>
              <w:rPr>
                <w:rFonts w:hint="eastAsia"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资格性</w:t>
            </w:r>
          </w:p>
          <w:p>
            <w:pPr>
              <w:rPr>
                <w:rFonts w:hint="eastAsia"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审查</w:t>
            </w:r>
          </w:p>
        </w:tc>
        <w:tc>
          <w:tcPr>
            <w:tcW w:w="3128" w:type="dxa"/>
            <w:tcBorders>
              <w:top w:val="outset" w:color="auto" w:sz="6" w:space="0"/>
              <w:left w:val="outset" w:color="auto" w:sz="6" w:space="0"/>
              <w:bottom w:val="outset" w:color="auto" w:sz="6" w:space="0"/>
              <w:right w:val="outset" w:color="auto" w:sz="6" w:space="0"/>
            </w:tcBorders>
            <w:noWrap w:val="0"/>
            <w:vAlign w:val="center"/>
          </w:tcPr>
          <w:p>
            <w:pPr>
              <w:rPr>
                <w:rFonts w:hint="eastAsia"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营业执照、资质文件</w:t>
            </w:r>
          </w:p>
        </w:tc>
        <w:tc>
          <w:tcPr>
            <w:tcW w:w="4746" w:type="dxa"/>
            <w:tcBorders>
              <w:top w:val="outset" w:color="auto" w:sz="6" w:space="0"/>
              <w:left w:val="outset" w:color="auto" w:sz="6" w:space="0"/>
              <w:bottom w:val="outset" w:color="auto" w:sz="6" w:space="0"/>
              <w:right w:val="outset" w:color="auto" w:sz="6" w:space="0"/>
            </w:tcBorders>
            <w:noWrap w:val="0"/>
            <w:vAlign w:val="center"/>
          </w:tcPr>
          <w:p>
            <w:pPr>
              <w:rPr>
                <w:rFonts w:hint="eastAsia"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未提供合法有效营业执照</w:t>
            </w:r>
            <w:r>
              <w:rPr>
                <w:rFonts w:hint="eastAsia" w:ascii="仿宋" w:hAnsi="仿宋" w:eastAsia="仿宋" w:cs="仿宋"/>
                <w:color w:val="000000"/>
                <w:w w:val="90"/>
                <w:sz w:val="28"/>
                <w:szCs w:val="28"/>
                <w:highlight w:val="none"/>
              </w:rPr>
              <w:tab/>
            </w:r>
            <w:r>
              <w:rPr>
                <w:rFonts w:hint="eastAsia" w:ascii="仿宋" w:hAnsi="仿宋" w:eastAsia="仿宋" w:cs="仿宋"/>
                <w:color w:val="000000"/>
                <w:w w:val="90"/>
                <w:sz w:val="28"/>
                <w:szCs w:val="28"/>
                <w:highlight w:val="none"/>
              </w:rPr>
              <w:t>或资质文件不符合招标文件要求的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414" w:hRule="atLeast"/>
        </w:trPr>
        <w:tc>
          <w:tcPr>
            <w:tcW w:w="1417" w:type="dxa"/>
            <w:vMerge w:val="continue"/>
            <w:tcBorders>
              <w:left w:val="outset" w:color="auto" w:sz="6" w:space="0"/>
              <w:bottom w:val="outset" w:color="auto" w:sz="12" w:space="0"/>
              <w:right w:val="outset" w:color="auto" w:sz="6" w:space="0"/>
            </w:tcBorders>
            <w:noWrap w:val="0"/>
            <w:vAlign w:val="center"/>
          </w:tcPr>
          <w:p>
            <w:pPr>
              <w:rPr>
                <w:rFonts w:hint="eastAsia" w:ascii="仿宋" w:hAnsi="仿宋" w:eastAsia="仿宋" w:cs="仿宋"/>
                <w:color w:val="000000"/>
                <w:w w:val="90"/>
                <w:sz w:val="28"/>
                <w:szCs w:val="28"/>
                <w:highlight w:val="none"/>
              </w:rPr>
            </w:pPr>
          </w:p>
        </w:tc>
        <w:tc>
          <w:tcPr>
            <w:tcW w:w="3128" w:type="dxa"/>
            <w:tcBorders>
              <w:top w:val="outset" w:color="auto" w:sz="6" w:space="0"/>
              <w:left w:val="outset" w:color="auto" w:sz="6" w:space="0"/>
              <w:bottom w:val="outset" w:color="auto" w:sz="6" w:space="0"/>
              <w:right w:val="outset" w:color="auto" w:sz="6" w:space="0"/>
            </w:tcBorders>
            <w:noWrap w:val="0"/>
            <w:vAlign w:val="center"/>
          </w:tcPr>
          <w:p>
            <w:pPr>
              <w:rPr>
                <w:rFonts w:hint="eastAsia"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征信查询</w:t>
            </w:r>
          </w:p>
        </w:tc>
        <w:tc>
          <w:tcPr>
            <w:tcW w:w="4746" w:type="dxa"/>
            <w:tcBorders>
              <w:top w:val="outset" w:color="auto" w:sz="6" w:space="0"/>
              <w:left w:val="outset" w:color="auto" w:sz="6" w:space="0"/>
              <w:bottom w:val="outset" w:color="auto" w:sz="6" w:space="0"/>
              <w:right w:val="outset" w:color="auto" w:sz="6" w:space="0"/>
            </w:tcBorders>
            <w:noWrap w:val="0"/>
            <w:vAlign w:val="center"/>
          </w:tcPr>
          <w:p>
            <w:pPr>
              <w:rPr>
                <w:rFonts w:hint="eastAsia"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信用查询有不良记录</w:t>
            </w:r>
          </w:p>
        </w:tc>
      </w:tr>
    </w:tbl>
    <w:p>
      <w:pPr>
        <w:numPr>
          <w:ilvl w:val="0"/>
          <w:numId w:val="0"/>
        </w:numPr>
        <w:ind w:firstLine="600" w:firstLineChars="200"/>
        <w:rPr>
          <w:rFonts w:hint="eastAsia" w:ascii="黑体" w:hAnsi="黑体" w:eastAsia="黑体" w:cs="黑体"/>
          <w:kern w:val="0"/>
          <w:sz w:val="30"/>
          <w:szCs w:val="30"/>
          <w:highlight w:val="none"/>
        </w:rPr>
      </w:pPr>
      <w:bookmarkStart w:id="0" w:name="_GoBack"/>
      <w:bookmarkEnd w:id="0"/>
      <w:r>
        <w:rPr>
          <w:rFonts w:hint="eastAsia" w:ascii="黑体" w:hAnsi="黑体" w:eastAsia="黑体" w:cs="黑体"/>
          <w:kern w:val="0"/>
          <w:sz w:val="30"/>
          <w:szCs w:val="30"/>
          <w:highlight w:val="none"/>
          <w:lang w:val="en-US" w:eastAsia="zh-CN"/>
        </w:rPr>
        <w:t>二、</w:t>
      </w:r>
      <w:r>
        <w:rPr>
          <w:rFonts w:hint="eastAsia" w:ascii="黑体" w:hAnsi="黑体" w:eastAsia="黑体" w:cs="黑体"/>
          <w:kern w:val="0"/>
          <w:sz w:val="30"/>
          <w:szCs w:val="30"/>
          <w:highlight w:val="none"/>
        </w:rPr>
        <w:t>技术和商务标评审</w:t>
      </w:r>
    </w:p>
    <w:tbl>
      <w:tblPr>
        <w:tblStyle w:val="2"/>
        <w:tblW w:w="95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780"/>
        <w:gridCol w:w="1050"/>
        <w:gridCol w:w="472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45" w:type="dxa"/>
            <w:noWrap w:val="0"/>
            <w:vAlign w:val="center"/>
          </w:tcPr>
          <w:p>
            <w:pPr>
              <w:jc w:val="center"/>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序号</w:t>
            </w:r>
          </w:p>
        </w:tc>
        <w:tc>
          <w:tcPr>
            <w:tcW w:w="1780" w:type="dxa"/>
            <w:noWrap w:val="0"/>
            <w:vAlign w:val="center"/>
          </w:tcPr>
          <w:p>
            <w:pPr>
              <w:ind w:firstLine="95" w:firstLineChars="38"/>
              <w:jc w:val="center"/>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内容</w:t>
            </w:r>
          </w:p>
        </w:tc>
        <w:tc>
          <w:tcPr>
            <w:tcW w:w="1050" w:type="dxa"/>
            <w:noWrap w:val="0"/>
            <w:vAlign w:val="center"/>
          </w:tcPr>
          <w:p>
            <w:pPr>
              <w:jc w:val="center"/>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分值</w:t>
            </w:r>
          </w:p>
        </w:tc>
        <w:tc>
          <w:tcPr>
            <w:tcW w:w="4725" w:type="dxa"/>
            <w:noWrap w:val="0"/>
            <w:vAlign w:val="center"/>
          </w:tcPr>
          <w:p>
            <w:pPr>
              <w:ind w:firstLine="504" w:firstLineChars="200"/>
              <w:jc w:val="center"/>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评分标准</w:t>
            </w:r>
          </w:p>
        </w:tc>
        <w:tc>
          <w:tcPr>
            <w:tcW w:w="1155" w:type="dxa"/>
            <w:noWrap w:val="0"/>
            <w:vAlign w:val="center"/>
          </w:tcPr>
          <w:p>
            <w:pPr>
              <w:ind w:firstLine="100" w:firstLineChars="40"/>
              <w:jc w:val="center"/>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845" w:type="dxa"/>
            <w:noWrap w:val="0"/>
            <w:vAlign w:val="center"/>
          </w:tcPr>
          <w:p>
            <w:pPr>
              <w:ind w:firstLine="206" w:firstLineChars="82"/>
              <w:jc w:val="left"/>
              <w:rPr>
                <w:rFonts w:ascii="仿宋" w:hAnsi="仿宋" w:eastAsia="仿宋" w:cs="仿宋"/>
                <w:color w:val="000000"/>
                <w:w w:val="90"/>
                <w:sz w:val="28"/>
                <w:szCs w:val="28"/>
                <w:highlight w:val="none"/>
              </w:rPr>
            </w:pPr>
            <w:r>
              <w:rPr>
                <w:rFonts w:ascii="仿宋" w:hAnsi="仿宋" w:eastAsia="仿宋" w:cs="仿宋"/>
                <w:color w:val="000000"/>
                <w:w w:val="90"/>
                <w:sz w:val="28"/>
                <w:szCs w:val="28"/>
                <w:highlight w:val="none"/>
              </w:rPr>
              <w:t>1</w:t>
            </w:r>
          </w:p>
        </w:tc>
        <w:tc>
          <w:tcPr>
            <w:tcW w:w="1780" w:type="dxa"/>
            <w:noWrap w:val="0"/>
            <w:vAlign w:val="center"/>
          </w:tcPr>
          <w:p>
            <w:pPr>
              <w:ind w:leftChars="-53" w:hanging="110" w:hangingChars="44"/>
              <w:jc w:val="center"/>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维保方案</w:t>
            </w:r>
          </w:p>
        </w:tc>
        <w:tc>
          <w:tcPr>
            <w:tcW w:w="1050" w:type="dxa"/>
            <w:noWrap w:val="0"/>
            <w:vAlign w:val="center"/>
          </w:tcPr>
          <w:p>
            <w:pPr>
              <w:jc w:val="center"/>
              <w:rPr>
                <w:rFonts w:hint="default" w:ascii="仿宋" w:hAnsi="仿宋" w:eastAsia="仿宋" w:cs="仿宋"/>
                <w:color w:val="000000"/>
                <w:w w:val="90"/>
                <w:sz w:val="28"/>
                <w:szCs w:val="28"/>
                <w:highlight w:val="none"/>
                <w:lang w:val="en-US" w:eastAsia="zh-CN"/>
              </w:rPr>
            </w:pPr>
            <w:r>
              <w:rPr>
                <w:rFonts w:hint="eastAsia" w:ascii="仿宋" w:hAnsi="仿宋" w:eastAsia="仿宋" w:cs="仿宋"/>
                <w:color w:val="000000"/>
                <w:w w:val="90"/>
                <w:sz w:val="28"/>
                <w:szCs w:val="28"/>
                <w:highlight w:val="none"/>
                <w:lang w:val="en-US" w:eastAsia="zh-CN"/>
              </w:rPr>
              <w:t>22</w:t>
            </w:r>
          </w:p>
        </w:tc>
        <w:tc>
          <w:tcPr>
            <w:tcW w:w="4725" w:type="dxa"/>
            <w:noWrap w:val="0"/>
            <w:vAlign w:val="center"/>
          </w:tcPr>
          <w:p>
            <w:pPr>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lang w:val="en-US" w:eastAsia="zh-CN"/>
              </w:rPr>
              <w:t>依照国家《火灾自动报警系统施工及验收规范》、《自动喷水灭火系统施工及验收规范》、《建筑消防设施检测技术规程》、《消防控制室通用技术要求》等规范和公安部公通字[1996]21号《关于抓紧建立和认真落实建筑消防设施检查维修保养管理制度的通知》，</w:t>
            </w:r>
            <w:r>
              <w:rPr>
                <w:rFonts w:hint="eastAsia" w:ascii="仿宋" w:hAnsi="仿宋" w:eastAsia="仿宋" w:cs="仿宋"/>
                <w:color w:val="000000"/>
                <w:w w:val="90"/>
                <w:sz w:val="28"/>
                <w:szCs w:val="28"/>
                <w:highlight w:val="none"/>
                <w:lang w:val="en-US" w:eastAsia="zh-CN"/>
              </w:rPr>
              <w:t>结合龙山园区现有消防系统现状，</w:t>
            </w:r>
            <w:r>
              <w:rPr>
                <w:rFonts w:hint="eastAsia" w:ascii="仿宋" w:hAnsi="仿宋" w:eastAsia="仿宋" w:cs="仿宋"/>
                <w:color w:val="000000"/>
                <w:w w:val="90"/>
                <w:sz w:val="28"/>
                <w:szCs w:val="28"/>
                <w:highlight w:val="none"/>
                <w:lang w:val="en-US" w:eastAsia="zh-CN"/>
              </w:rPr>
              <w:t>对消防维保服务的内容进行具体说明，目的任务明确</w:t>
            </w:r>
            <w:r>
              <w:rPr>
                <w:rFonts w:hint="eastAsia" w:ascii="仿宋" w:hAnsi="仿宋" w:eastAsia="仿宋" w:cs="仿宋"/>
                <w:color w:val="000000"/>
                <w:w w:val="90"/>
                <w:sz w:val="28"/>
                <w:szCs w:val="28"/>
                <w:highlight w:val="none"/>
                <w:lang w:val="en-US" w:eastAsia="zh-CN"/>
              </w:rPr>
              <w:t>，</w:t>
            </w:r>
            <w:r>
              <w:rPr>
                <w:rFonts w:hint="eastAsia" w:ascii="仿宋" w:hAnsi="仿宋" w:eastAsia="仿宋" w:cs="仿宋"/>
                <w:color w:val="000000"/>
                <w:w w:val="90"/>
                <w:sz w:val="28"/>
                <w:szCs w:val="28"/>
                <w:highlight w:val="none"/>
              </w:rPr>
              <w:t>维保方案科学详细、切实可行、操作安全规范得</w:t>
            </w:r>
            <w:r>
              <w:rPr>
                <w:rFonts w:hint="eastAsia" w:ascii="仿宋" w:hAnsi="仿宋" w:eastAsia="仿宋" w:cs="仿宋"/>
                <w:color w:val="000000"/>
                <w:w w:val="90"/>
                <w:sz w:val="28"/>
                <w:szCs w:val="28"/>
                <w:highlight w:val="none"/>
                <w:lang w:val="en-US" w:eastAsia="zh-CN"/>
              </w:rPr>
              <w:t>15</w:t>
            </w:r>
            <w:r>
              <w:rPr>
                <w:rFonts w:ascii="仿宋" w:hAnsi="仿宋" w:eastAsia="仿宋" w:cs="仿宋"/>
                <w:color w:val="000000"/>
                <w:w w:val="90"/>
                <w:sz w:val="28"/>
                <w:szCs w:val="28"/>
                <w:highlight w:val="none"/>
              </w:rPr>
              <w:t>-</w:t>
            </w:r>
            <w:r>
              <w:rPr>
                <w:rFonts w:hint="eastAsia" w:ascii="仿宋" w:hAnsi="仿宋" w:eastAsia="仿宋" w:cs="仿宋"/>
                <w:color w:val="000000"/>
                <w:w w:val="90"/>
                <w:sz w:val="28"/>
                <w:szCs w:val="28"/>
                <w:highlight w:val="none"/>
                <w:lang w:val="en-US" w:eastAsia="zh-CN"/>
              </w:rPr>
              <w:t>22</w:t>
            </w:r>
            <w:r>
              <w:rPr>
                <w:rFonts w:hint="eastAsia" w:ascii="仿宋" w:hAnsi="仿宋" w:eastAsia="仿宋" w:cs="仿宋"/>
                <w:color w:val="000000"/>
                <w:w w:val="90"/>
                <w:sz w:val="28"/>
                <w:szCs w:val="28"/>
                <w:highlight w:val="none"/>
              </w:rPr>
              <w:t>分，维保方案、操作规范较简单得</w:t>
            </w:r>
            <w:r>
              <w:rPr>
                <w:rFonts w:hint="eastAsia" w:ascii="仿宋" w:hAnsi="仿宋" w:eastAsia="仿宋" w:cs="仿宋"/>
                <w:color w:val="000000"/>
                <w:w w:val="90"/>
                <w:sz w:val="28"/>
                <w:szCs w:val="28"/>
                <w:highlight w:val="none"/>
                <w:lang w:val="en-US" w:eastAsia="zh-CN"/>
              </w:rPr>
              <w:t>1</w:t>
            </w:r>
            <w:r>
              <w:rPr>
                <w:rFonts w:ascii="仿宋" w:hAnsi="仿宋" w:eastAsia="仿宋" w:cs="仿宋"/>
                <w:color w:val="000000"/>
                <w:w w:val="90"/>
                <w:sz w:val="28"/>
                <w:szCs w:val="28"/>
                <w:highlight w:val="none"/>
              </w:rPr>
              <w:t>-</w:t>
            </w:r>
            <w:r>
              <w:rPr>
                <w:rFonts w:hint="eastAsia" w:ascii="仿宋" w:hAnsi="仿宋" w:eastAsia="仿宋" w:cs="仿宋"/>
                <w:color w:val="000000"/>
                <w:w w:val="90"/>
                <w:sz w:val="28"/>
                <w:szCs w:val="28"/>
                <w:highlight w:val="none"/>
                <w:lang w:val="en-US" w:eastAsia="zh-CN"/>
              </w:rPr>
              <w:t>14</w:t>
            </w:r>
            <w:r>
              <w:rPr>
                <w:rFonts w:hint="eastAsia" w:ascii="仿宋" w:hAnsi="仿宋" w:eastAsia="仿宋" w:cs="仿宋"/>
                <w:color w:val="000000"/>
                <w:w w:val="90"/>
                <w:sz w:val="28"/>
                <w:szCs w:val="28"/>
                <w:highlight w:val="none"/>
              </w:rPr>
              <w:t>分，未提供维保方案不得分。</w:t>
            </w:r>
          </w:p>
        </w:tc>
        <w:tc>
          <w:tcPr>
            <w:tcW w:w="1155" w:type="dxa"/>
            <w:noWrap w:val="0"/>
            <w:vAlign w:val="center"/>
          </w:tcPr>
          <w:p>
            <w:pPr>
              <w:ind w:firstLine="504" w:firstLineChars="200"/>
              <w:jc w:val="center"/>
              <w:rPr>
                <w:rFonts w:ascii="仿宋" w:hAnsi="仿宋" w:eastAsia="仿宋" w:cs="仿宋"/>
                <w:color w:val="000000"/>
                <w:w w:val="9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845" w:type="dxa"/>
            <w:noWrap w:val="0"/>
            <w:vAlign w:val="center"/>
          </w:tcPr>
          <w:p>
            <w:pPr>
              <w:ind w:left="0" w:leftChars="-1" w:hanging="2" w:hangingChars="1"/>
              <w:jc w:val="center"/>
              <w:rPr>
                <w:rFonts w:ascii="仿宋" w:hAnsi="仿宋" w:eastAsia="仿宋" w:cs="仿宋"/>
                <w:color w:val="000000"/>
                <w:w w:val="90"/>
                <w:sz w:val="28"/>
                <w:szCs w:val="28"/>
                <w:highlight w:val="none"/>
              </w:rPr>
            </w:pPr>
            <w:r>
              <w:rPr>
                <w:rFonts w:ascii="仿宋" w:hAnsi="仿宋" w:eastAsia="仿宋" w:cs="仿宋"/>
                <w:color w:val="000000"/>
                <w:w w:val="90"/>
                <w:sz w:val="28"/>
                <w:szCs w:val="28"/>
                <w:highlight w:val="none"/>
              </w:rPr>
              <w:t>2</w:t>
            </w:r>
          </w:p>
        </w:tc>
        <w:tc>
          <w:tcPr>
            <w:tcW w:w="1780" w:type="dxa"/>
            <w:noWrap w:val="0"/>
            <w:vAlign w:val="center"/>
          </w:tcPr>
          <w:p>
            <w:pPr>
              <w:ind w:firstLine="221" w:firstLineChars="88"/>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维保案例</w:t>
            </w:r>
          </w:p>
        </w:tc>
        <w:tc>
          <w:tcPr>
            <w:tcW w:w="1050" w:type="dxa"/>
            <w:noWrap w:val="0"/>
            <w:vAlign w:val="center"/>
          </w:tcPr>
          <w:p>
            <w:pPr>
              <w:ind w:firstLine="252" w:firstLineChars="100"/>
              <w:rPr>
                <w:rFonts w:hint="default" w:ascii="仿宋" w:hAnsi="仿宋" w:eastAsia="仿宋" w:cs="仿宋"/>
                <w:color w:val="000000"/>
                <w:w w:val="90"/>
                <w:sz w:val="28"/>
                <w:szCs w:val="28"/>
                <w:highlight w:val="none"/>
                <w:lang w:val="en-US" w:eastAsia="zh-CN"/>
              </w:rPr>
            </w:pPr>
            <w:r>
              <w:rPr>
                <w:rFonts w:hint="eastAsia" w:ascii="仿宋" w:hAnsi="仿宋" w:eastAsia="仿宋" w:cs="仿宋"/>
                <w:color w:val="000000"/>
                <w:w w:val="90"/>
                <w:sz w:val="28"/>
                <w:szCs w:val="28"/>
                <w:highlight w:val="none"/>
                <w:lang w:val="en-US" w:eastAsia="zh-CN"/>
              </w:rPr>
              <w:t>12</w:t>
            </w:r>
          </w:p>
        </w:tc>
        <w:tc>
          <w:tcPr>
            <w:tcW w:w="4725" w:type="dxa"/>
            <w:noWrap w:val="0"/>
            <w:vAlign w:val="center"/>
          </w:tcPr>
          <w:p>
            <w:pPr>
              <w:rPr>
                <w:rFonts w:hint="default" w:ascii="仿宋" w:hAnsi="仿宋" w:eastAsia="仿宋" w:cs="仿宋"/>
                <w:color w:val="000000"/>
                <w:w w:val="90"/>
                <w:sz w:val="28"/>
                <w:szCs w:val="28"/>
                <w:highlight w:val="none"/>
                <w:lang w:val="en-US" w:eastAsia="zh-CN"/>
              </w:rPr>
            </w:pPr>
            <w:r>
              <w:rPr>
                <w:rFonts w:hint="eastAsia" w:ascii="仿宋" w:hAnsi="仿宋" w:eastAsia="仿宋" w:cs="仿宋"/>
                <w:color w:val="000000"/>
                <w:w w:val="90"/>
                <w:sz w:val="28"/>
                <w:szCs w:val="28"/>
                <w:highlight w:val="none"/>
              </w:rPr>
              <w:t>提供</w:t>
            </w:r>
            <w:r>
              <w:rPr>
                <w:rFonts w:hint="eastAsia" w:ascii="仿宋" w:hAnsi="仿宋" w:eastAsia="仿宋" w:cs="仿宋"/>
                <w:color w:val="000000"/>
                <w:w w:val="90"/>
                <w:sz w:val="28"/>
                <w:szCs w:val="28"/>
                <w:highlight w:val="none"/>
                <w:lang w:val="en-US" w:eastAsia="zh-CN"/>
              </w:rPr>
              <w:t>近3</w:t>
            </w:r>
            <w:r>
              <w:rPr>
                <w:rFonts w:hint="eastAsia" w:ascii="仿宋" w:hAnsi="仿宋" w:eastAsia="仿宋" w:cs="仿宋"/>
                <w:color w:val="000000"/>
                <w:w w:val="90"/>
                <w:sz w:val="28"/>
                <w:szCs w:val="28"/>
                <w:highlight w:val="none"/>
              </w:rPr>
              <w:t>年以来</w:t>
            </w:r>
            <w:r>
              <w:rPr>
                <w:rFonts w:hint="eastAsia" w:ascii="仿宋" w:hAnsi="仿宋" w:eastAsia="仿宋" w:cs="仿宋"/>
                <w:color w:val="000000"/>
                <w:w w:val="90"/>
                <w:sz w:val="28"/>
                <w:szCs w:val="28"/>
                <w:highlight w:val="none"/>
                <w:lang w:val="en-US" w:eastAsia="zh-CN"/>
              </w:rPr>
              <w:t>同等规模及以上（面积13万平米或费用12万元）的类似厂房、办公大楼、</w:t>
            </w:r>
            <w:r>
              <w:rPr>
                <w:rFonts w:hint="eastAsia" w:ascii="仿宋" w:hAnsi="仿宋" w:eastAsia="仿宋" w:cs="仿宋"/>
                <w:color w:val="000000"/>
                <w:w w:val="90"/>
                <w:sz w:val="28"/>
                <w:szCs w:val="28"/>
                <w:highlight w:val="none"/>
                <w:lang w:val="en-US" w:eastAsia="zh-CN"/>
              </w:rPr>
              <w:t>商业综合体</w:t>
            </w:r>
            <w:r>
              <w:rPr>
                <w:rFonts w:hint="eastAsia" w:ascii="仿宋" w:hAnsi="仿宋" w:eastAsia="仿宋" w:cs="仿宋"/>
                <w:color w:val="000000"/>
                <w:w w:val="90"/>
                <w:sz w:val="28"/>
                <w:szCs w:val="28"/>
                <w:highlight w:val="none"/>
                <w:lang w:val="en-US" w:eastAsia="zh-CN"/>
              </w:rPr>
              <w:t>消防维</w:t>
            </w:r>
            <w:r>
              <w:rPr>
                <w:rFonts w:hint="eastAsia" w:ascii="仿宋" w:hAnsi="仿宋" w:eastAsia="仿宋" w:cs="仿宋"/>
                <w:color w:val="000000"/>
                <w:w w:val="90"/>
                <w:sz w:val="28"/>
                <w:szCs w:val="28"/>
                <w:highlight w:val="none"/>
                <w:lang w:val="en-US" w:eastAsia="zh-CN"/>
              </w:rPr>
              <w:t>护保养服务案例合同</w:t>
            </w:r>
            <w:r>
              <w:rPr>
                <w:rFonts w:hint="eastAsia" w:ascii="仿宋" w:hAnsi="仿宋" w:eastAsia="仿宋" w:cs="仿宋"/>
                <w:color w:val="000000"/>
                <w:w w:val="90"/>
                <w:sz w:val="28"/>
                <w:szCs w:val="28"/>
                <w:highlight w:val="none"/>
              </w:rPr>
              <w:t>，</w:t>
            </w:r>
            <w:r>
              <w:rPr>
                <w:rFonts w:hint="eastAsia" w:ascii="仿宋" w:hAnsi="仿宋" w:eastAsia="仿宋" w:cs="仿宋"/>
                <w:color w:val="000000"/>
                <w:w w:val="90"/>
                <w:sz w:val="28"/>
                <w:szCs w:val="28"/>
                <w:highlight w:val="none"/>
                <w:lang w:val="en-US" w:eastAsia="zh-CN"/>
              </w:rPr>
              <w:t>每个消防维保案例</w:t>
            </w:r>
            <w:r>
              <w:rPr>
                <w:rFonts w:hint="eastAsia" w:ascii="仿宋" w:hAnsi="仿宋" w:eastAsia="仿宋" w:cs="仿宋"/>
                <w:color w:val="000000"/>
                <w:w w:val="90"/>
                <w:sz w:val="28"/>
                <w:szCs w:val="28"/>
                <w:highlight w:val="none"/>
              </w:rPr>
              <w:t>复</w:t>
            </w:r>
            <w:r>
              <w:rPr>
                <w:rFonts w:hint="eastAsia" w:ascii="仿宋" w:hAnsi="仿宋" w:eastAsia="仿宋" w:cs="仿宋"/>
                <w:color w:val="000000"/>
                <w:w w:val="90"/>
                <w:sz w:val="28"/>
                <w:szCs w:val="28"/>
                <w:highlight w:val="none"/>
              </w:rPr>
              <w:t>印件或扫描件应能辨识双方合同公章、签订时间、金额，加盖投标人公章</w:t>
            </w:r>
            <w:r>
              <w:rPr>
                <w:rFonts w:hint="eastAsia" w:ascii="仿宋" w:hAnsi="仿宋" w:eastAsia="仿宋" w:cs="仿宋"/>
                <w:color w:val="000000"/>
                <w:w w:val="90"/>
                <w:sz w:val="28"/>
                <w:szCs w:val="28"/>
                <w:highlight w:val="none"/>
                <w:lang w:val="en-US" w:eastAsia="zh-CN"/>
              </w:rPr>
              <w:t>或</w:t>
            </w:r>
            <w:r>
              <w:rPr>
                <w:rFonts w:hint="eastAsia" w:ascii="仿宋" w:hAnsi="仿宋" w:eastAsia="仿宋" w:cs="仿宋"/>
                <w:color w:val="000000"/>
                <w:w w:val="90"/>
                <w:sz w:val="28"/>
                <w:szCs w:val="28"/>
                <w:highlight w:val="none"/>
              </w:rPr>
              <w:t>服务案例合同不能体现以上全部内容，可提供服务案例合同甲方加盖公章的证明复印件或扫描件</w:t>
            </w:r>
            <w:r>
              <w:rPr>
                <w:rFonts w:hint="eastAsia" w:ascii="仿宋" w:hAnsi="仿宋" w:eastAsia="仿宋" w:cs="仿宋"/>
                <w:color w:val="000000"/>
                <w:w w:val="90"/>
                <w:sz w:val="28"/>
                <w:szCs w:val="28"/>
                <w:highlight w:val="none"/>
                <w:lang w:val="en-US" w:eastAsia="zh-CN"/>
              </w:rPr>
              <w:t>的</w:t>
            </w:r>
            <w:r>
              <w:rPr>
                <w:rFonts w:hint="eastAsia" w:ascii="仿宋" w:hAnsi="仿宋" w:eastAsia="仿宋" w:cs="仿宋"/>
                <w:color w:val="000000"/>
                <w:w w:val="90"/>
                <w:sz w:val="28"/>
                <w:szCs w:val="28"/>
                <w:highlight w:val="none"/>
              </w:rPr>
              <w:t>每个维保案例得</w:t>
            </w:r>
            <w:r>
              <w:rPr>
                <w:rFonts w:hint="eastAsia" w:ascii="仿宋" w:hAnsi="仿宋" w:eastAsia="仿宋" w:cs="仿宋"/>
                <w:color w:val="000000"/>
                <w:w w:val="90"/>
                <w:sz w:val="28"/>
                <w:szCs w:val="28"/>
                <w:highlight w:val="none"/>
                <w:lang w:val="en-US" w:eastAsia="zh-CN"/>
              </w:rPr>
              <w:t>4</w:t>
            </w:r>
            <w:r>
              <w:rPr>
                <w:rFonts w:hint="eastAsia" w:ascii="仿宋" w:hAnsi="仿宋" w:eastAsia="仿宋" w:cs="仿宋"/>
                <w:color w:val="000000"/>
                <w:w w:val="90"/>
                <w:sz w:val="28"/>
                <w:szCs w:val="28"/>
                <w:highlight w:val="none"/>
              </w:rPr>
              <w:t>分</w:t>
            </w:r>
            <w:r>
              <w:rPr>
                <w:rFonts w:hint="eastAsia" w:ascii="仿宋" w:hAnsi="仿宋" w:eastAsia="仿宋" w:cs="仿宋"/>
                <w:color w:val="000000"/>
                <w:w w:val="90"/>
                <w:sz w:val="28"/>
                <w:szCs w:val="28"/>
                <w:highlight w:val="none"/>
                <w:lang w:eastAsia="zh-CN"/>
              </w:rPr>
              <w:t>；</w:t>
            </w:r>
            <w:r>
              <w:rPr>
                <w:rFonts w:hint="eastAsia" w:ascii="仿宋" w:hAnsi="仿宋" w:eastAsia="仿宋" w:cs="仿宋"/>
                <w:color w:val="000000"/>
                <w:w w:val="90"/>
                <w:sz w:val="28"/>
                <w:szCs w:val="28"/>
                <w:highlight w:val="none"/>
                <w:lang w:val="en-US" w:eastAsia="zh-CN"/>
              </w:rPr>
              <w:t>若每个消防维保案例复印件或扫描件不能辨识双方合同公章、签订时间、金额、忘加盖投标人公章、未提供消防维保</w:t>
            </w:r>
            <w:r>
              <w:rPr>
                <w:rFonts w:hint="eastAsia" w:ascii="仿宋" w:hAnsi="仿宋" w:eastAsia="仿宋" w:cs="仿宋"/>
                <w:color w:val="000000"/>
                <w:w w:val="90"/>
                <w:sz w:val="28"/>
                <w:szCs w:val="28"/>
                <w:highlight w:val="none"/>
              </w:rPr>
              <w:t>服务案例合同甲方加盖公章的证明复印件或扫描件</w:t>
            </w:r>
            <w:r>
              <w:rPr>
                <w:rFonts w:hint="eastAsia" w:ascii="仿宋" w:hAnsi="仿宋" w:eastAsia="仿宋" w:cs="仿宋"/>
                <w:color w:val="000000"/>
                <w:w w:val="90"/>
                <w:sz w:val="28"/>
                <w:szCs w:val="28"/>
                <w:highlight w:val="none"/>
                <w:lang w:val="en-US" w:eastAsia="zh-CN"/>
              </w:rPr>
              <w:t>每一项对应扣减1分，</w:t>
            </w:r>
            <w:r>
              <w:rPr>
                <w:rFonts w:hint="eastAsia" w:ascii="仿宋" w:hAnsi="仿宋" w:eastAsia="仿宋" w:cs="仿宋"/>
                <w:color w:val="000000"/>
                <w:w w:val="90"/>
                <w:sz w:val="28"/>
                <w:szCs w:val="28"/>
                <w:highlight w:val="none"/>
              </w:rPr>
              <w:t>最</w:t>
            </w:r>
            <w:r>
              <w:rPr>
                <w:rFonts w:hint="eastAsia" w:ascii="仿宋" w:hAnsi="仿宋" w:eastAsia="仿宋" w:cs="仿宋"/>
                <w:color w:val="000000"/>
                <w:w w:val="90"/>
                <w:sz w:val="28"/>
                <w:szCs w:val="28"/>
                <w:highlight w:val="none"/>
                <w:lang w:val="en-US" w:eastAsia="zh-CN"/>
              </w:rPr>
              <w:t>多扣减</w:t>
            </w:r>
            <w:r>
              <w:rPr>
                <w:rFonts w:hint="eastAsia" w:ascii="仿宋" w:hAnsi="仿宋" w:eastAsia="仿宋" w:cs="仿宋"/>
                <w:color w:val="000000"/>
                <w:w w:val="90"/>
                <w:sz w:val="28"/>
                <w:szCs w:val="28"/>
                <w:highlight w:val="none"/>
              </w:rPr>
              <w:t>不超过</w:t>
            </w:r>
            <w:r>
              <w:rPr>
                <w:rFonts w:hint="eastAsia" w:ascii="仿宋" w:hAnsi="仿宋" w:eastAsia="仿宋" w:cs="仿宋"/>
                <w:color w:val="000000"/>
                <w:w w:val="90"/>
                <w:sz w:val="28"/>
                <w:szCs w:val="28"/>
                <w:highlight w:val="none"/>
                <w:lang w:val="en-US" w:eastAsia="zh-CN"/>
              </w:rPr>
              <w:t>4</w:t>
            </w:r>
            <w:r>
              <w:rPr>
                <w:rFonts w:hint="eastAsia" w:ascii="仿宋" w:hAnsi="仿宋" w:eastAsia="仿宋" w:cs="仿宋"/>
                <w:color w:val="000000"/>
                <w:w w:val="90"/>
                <w:sz w:val="28"/>
                <w:szCs w:val="28"/>
                <w:highlight w:val="none"/>
              </w:rPr>
              <w:t>分</w:t>
            </w:r>
            <w:r>
              <w:rPr>
                <w:rFonts w:hint="eastAsia" w:ascii="仿宋" w:hAnsi="仿宋" w:eastAsia="仿宋" w:cs="仿宋"/>
                <w:color w:val="000000"/>
                <w:w w:val="90"/>
                <w:sz w:val="28"/>
                <w:szCs w:val="28"/>
                <w:highlight w:val="none"/>
                <w:lang w:eastAsia="zh-CN"/>
              </w:rPr>
              <w:t>；</w:t>
            </w:r>
            <w:r>
              <w:rPr>
                <w:rFonts w:hint="eastAsia" w:ascii="仿宋" w:hAnsi="仿宋" w:eastAsia="仿宋" w:cs="仿宋"/>
                <w:color w:val="000000"/>
                <w:w w:val="90"/>
                <w:sz w:val="28"/>
                <w:szCs w:val="28"/>
                <w:highlight w:val="none"/>
                <w:lang w:val="en-US" w:eastAsia="zh-CN"/>
              </w:rPr>
              <w:t>总计得分最多不超过12分。</w:t>
            </w:r>
          </w:p>
        </w:tc>
        <w:tc>
          <w:tcPr>
            <w:tcW w:w="1155" w:type="dxa"/>
            <w:noWrap w:val="0"/>
            <w:vAlign w:val="center"/>
          </w:tcPr>
          <w:p>
            <w:pPr>
              <w:ind w:firstLine="504" w:firstLineChars="200"/>
              <w:jc w:val="center"/>
              <w:rPr>
                <w:rFonts w:ascii="仿宋" w:hAnsi="仿宋" w:eastAsia="仿宋" w:cs="仿宋"/>
                <w:color w:val="000000"/>
                <w:w w:val="90"/>
                <w:sz w:val="28"/>
                <w:szCs w:val="28"/>
                <w:highlight w:val="none"/>
              </w:rPr>
            </w:pPr>
          </w:p>
          <w:p>
            <w:pPr>
              <w:ind w:firstLine="504" w:firstLineChars="200"/>
              <w:jc w:val="center"/>
              <w:rPr>
                <w:rFonts w:ascii="仿宋" w:hAnsi="仿宋" w:eastAsia="仿宋" w:cs="仿宋"/>
                <w:color w:val="000000"/>
                <w:w w:val="9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trPr>
        <w:tc>
          <w:tcPr>
            <w:tcW w:w="845" w:type="dxa"/>
            <w:noWrap w:val="0"/>
            <w:vAlign w:val="center"/>
          </w:tcPr>
          <w:p>
            <w:pPr>
              <w:ind w:firstLine="206" w:firstLineChars="82"/>
              <w:rPr>
                <w:rFonts w:hint="eastAsia" w:ascii="仿宋" w:hAnsi="仿宋" w:eastAsia="仿宋" w:cs="仿宋"/>
                <w:color w:val="000000"/>
                <w:w w:val="90"/>
                <w:sz w:val="28"/>
                <w:szCs w:val="28"/>
                <w:highlight w:val="none"/>
                <w:lang w:eastAsia="zh-CN"/>
              </w:rPr>
            </w:pPr>
            <w:r>
              <w:rPr>
                <w:rFonts w:hint="eastAsia" w:ascii="仿宋" w:hAnsi="仿宋" w:eastAsia="仿宋" w:cs="仿宋"/>
                <w:color w:val="000000"/>
                <w:w w:val="90"/>
                <w:sz w:val="28"/>
                <w:szCs w:val="28"/>
                <w:highlight w:val="none"/>
                <w:lang w:val="en-US" w:eastAsia="zh-CN"/>
              </w:rPr>
              <w:t>3</w:t>
            </w:r>
          </w:p>
        </w:tc>
        <w:tc>
          <w:tcPr>
            <w:tcW w:w="1780" w:type="dxa"/>
            <w:noWrap w:val="0"/>
            <w:vAlign w:val="center"/>
          </w:tcPr>
          <w:p>
            <w:pPr>
              <w:rPr>
                <w:rFonts w:hint="eastAsia"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消防故障应急处理响应时间承诺函</w:t>
            </w:r>
          </w:p>
        </w:tc>
        <w:tc>
          <w:tcPr>
            <w:tcW w:w="1050" w:type="dxa"/>
            <w:noWrap w:val="0"/>
            <w:vAlign w:val="center"/>
          </w:tcPr>
          <w:p>
            <w:pPr>
              <w:jc w:val="center"/>
              <w:rPr>
                <w:rFonts w:hint="default" w:ascii="仿宋" w:hAnsi="仿宋" w:eastAsia="仿宋" w:cs="仿宋"/>
                <w:color w:val="000000"/>
                <w:w w:val="90"/>
                <w:sz w:val="28"/>
                <w:szCs w:val="28"/>
                <w:highlight w:val="none"/>
                <w:lang w:val="en-US" w:eastAsia="zh-CN"/>
              </w:rPr>
            </w:pPr>
            <w:r>
              <w:rPr>
                <w:rFonts w:hint="eastAsia" w:ascii="仿宋" w:hAnsi="仿宋" w:eastAsia="仿宋" w:cs="仿宋"/>
                <w:color w:val="000000"/>
                <w:w w:val="90"/>
                <w:sz w:val="28"/>
                <w:szCs w:val="28"/>
                <w:highlight w:val="none"/>
                <w:lang w:val="en-US" w:eastAsia="zh-CN"/>
              </w:rPr>
              <w:t>6</w:t>
            </w:r>
          </w:p>
        </w:tc>
        <w:tc>
          <w:tcPr>
            <w:tcW w:w="4725" w:type="dxa"/>
            <w:noWrap w:val="0"/>
            <w:vAlign w:val="center"/>
          </w:tcPr>
          <w:p>
            <w:pPr>
              <w:rPr>
                <w:rFonts w:hint="eastAsia"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提供紧急故障</w:t>
            </w:r>
            <w:r>
              <w:rPr>
                <w:rFonts w:hint="eastAsia" w:ascii="仿宋" w:hAnsi="仿宋" w:eastAsia="仿宋" w:cs="仿宋"/>
                <w:color w:val="000000"/>
                <w:w w:val="90"/>
                <w:sz w:val="28"/>
                <w:szCs w:val="28"/>
                <w:highlight w:val="none"/>
                <w:lang w:val="en-US" w:eastAsia="zh-CN"/>
              </w:rPr>
              <w:t>应急处理响应时间</w:t>
            </w:r>
            <w:r>
              <w:rPr>
                <w:rFonts w:hint="eastAsia" w:ascii="仿宋" w:hAnsi="仿宋" w:eastAsia="仿宋" w:cs="仿宋"/>
                <w:color w:val="000000"/>
                <w:w w:val="90"/>
                <w:sz w:val="28"/>
                <w:szCs w:val="28"/>
                <w:highlight w:val="none"/>
              </w:rPr>
              <w:t>承诺</w:t>
            </w:r>
            <w:r>
              <w:rPr>
                <w:rFonts w:hint="eastAsia" w:ascii="仿宋" w:hAnsi="仿宋" w:eastAsia="仿宋" w:cs="仿宋"/>
                <w:color w:val="000000"/>
                <w:w w:val="90"/>
                <w:sz w:val="28"/>
                <w:szCs w:val="28"/>
                <w:highlight w:val="none"/>
                <w:lang w:val="en-US" w:eastAsia="zh-CN"/>
              </w:rPr>
              <w:t>函</w:t>
            </w:r>
            <w:r>
              <w:rPr>
                <w:rFonts w:hint="eastAsia" w:ascii="仿宋" w:hAnsi="仿宋" w:eastAsia="仿宋" w:cs="仿宋"/>
                <w:color w:val="000000"/>
                <w:w w:val="90"/>
                <w:sz w:val="28"/>
                <w:szCs w:val="28"/>
                <w:highlight w:val="none"/>
              </w:rPr>
              <w:t>，遇到消防设施故障及时赶到现场实施抢修</w:t>
            </w:r>
            <w:r>
              <w:rPr>
                <w:rFonts w:hint="eastAsia" w:ascii="仿宋" w:hAnsi="仿宋" w:eastAsia="仿宋" w:cs="仿宋"/>
                <w:color w:val="000000"/>
                <w:w w:val="90"/>
                <w:sz w:val="28"/>
                <w:szCs w:val="28"/>
                <w:highlight w:val="none"/>
                <w:lang w:eastAsia="zh-CN"/>
              </w:rPr>
              <w:t>（</w:t>
            </w:r>
            <w:r>
              <w:rPr>
                <w:rFonts w:hint="eastAsia" w:ascii="仿宋" w:hAnsi="仿宋" w:eastAsia="仿宋" w:cs="仿宋"/>
                <w:color w:val="000000"/>
                <w:w w:val="90"/>
                <w:sz w:val="28"/>
                <w:szCs w:val="28"/>
                <w:highlight w:val="none"/>
                <w:lang w:val="en-US" w:eastAsia="zh-CN"/>
              </w:rPr>
              <w:t>2小</w:t>
            </w:r>
            <w:r>
              <w:rPr>
                <w:rFonts w:hint="eastAsia" w:ascii="仿宋" w:hAnsi="仿宋" w:eastAsia="仿宋" w:cs="仿宋"/>
                <w:color w:val="000000"/>
                <w:w w:val="90"/>
                <w:sz w:val="28"/>
                <w:szCs w:val="28"/>
                <w:highlight w:val="none"/>
                <w:lang w:val="en-US" w:eastAsia="zh-CN"/>
              </w:rPr>
              <w:t>时以内</w:t>
            </w:r>
            <w:r>
              <w:rPr>
                <w:rFonts w:hint="eastAsia" w:ascii="仿宋" w:hAnsi="仿宋" w:eastAsia="仿宋" w:cs="仿宋"/>
                <w:color w:val="000000"/>
                <w:w w:val="90"/>
                <w:sz w:val="28"/>
                <w:szCs w:val="28"/>
                <w:highlight w:val="none"/>
                <w:lang w:eastAsia="zh-CN"/>
              </w:rPr>
              <w:t>）</w:t>
            </w:r>
            <w:r>
              <w:rPr>
                <w:rFonts w:hint="eastAsia" w:ascii="仿宋" w:hAnsi="仿宋" w:eastAsia="仿宋" w:cs="仿宋"/>
                <w:color w:val="000000"/>
                <w:w w:val="90"/>
                <w:sz w:val="28"/>
                <w:szCs w:val="28"/>
                <w:highlight w:val="none"/>
              </w:rPr>
              <w:t>得</w:t>
            </w:r>
            <w:r>
              <w:rPr>
                <w:rFonts w:hint="eastAsia" w:ascii="仿宋" w:hAnsi="仿宋" w:eastAsia="仿宋" w:cs="仿宋"/>
                <w:color w:val="000000"/>
                <w:w w:val="90"/>
                <w:sz w:val="28"/>
                <w:szCs w:val="28"/>
                <w:highlight w:val="none"/>
                <w:lang w:val="en-US" w:eastAsia="zh-CN"/>
              </w:rPr>
              <w:t>4-6</w:t>
            </w:r>
            <w:r>
              <w:rPr>
                <w:rFonts w:hint="eastAsia" w:ascii="仿宋" w:hAnsi="仿宋" w:eastAsia="仿宋" w:cs="仿宋"/>
                <w:color w:val="000000"/>
                <w:w w:val="90"/>
                <w:sz w:val="28"/>
                <w:szCs w:val="28"/>
                <w:highlight w:val="none"/>
              </w:rPr>
              <w:t>分</w:t>
            </w:r>
            <w:r>
              <w:rPr>
                <w:rFonts w:hint="eastAsia" w:ascii="仿宋" w:hAnsi="仿宋" w:eastAsia="仿宋" w:cs="仿宋"/>
                <w:color w:val="000000"/>
                <w:w w:val="90"/>
                <w:sz w:val="28"/>
                <w:szCs w:val="28"/>
                <w:highlight w:val="none"/>
                <w:lang w:eastAsia="zh-CN"/>
              </w:rPr>
              <w:t>；</w:t>
            </w:r>
            <w:r>
              <w:rPr>
                <w:rFonts w:hint="eastAsia" w:ascii="仿宋" w:hAnsi="仿宋" w:eastAsia="仿宋" w:cs="仿宋"/>
                <w:color w:val="000000"/>
                <w:w w:val="90"/>
                <w:sz w:val="28"/>
                <w:szCs w:val="28"/>
                <w:highlight w:val="none"/>
              </w:rPr>
              <w:t>故障处理时间过长</w:t>
            </w:r>
            <w:r>
              <w:rPr>
                <w:rFonts w:hint="eastAsia" w:ascii="仿宋" w:hAnsi="仿宋" w:eastAsia="仿宋" w:cs="仿宋"/>
                <w:color w:val="000000"/>
                <w:w w:val="90"/>
                <w:sz w:val="28"/>
                <w:szCs w:val="28"/>
                <w:highlight w:val="none"/>
                <w:lang w:eastAsia="zh-CN"/>
              </w:rPr>
              <w:t>（</w:t>
            </w:r>
            <w:r>
              <w:rPr>
                <w:rFonts w:hint="eastAsia" w:ascii="仿宋" w:hAnsi="仿宋" w:eastAsia="仿宋" w:cs="仿宋"/>
                <w:color w:val="000000"/>
                <w:w w:val="90"/>
                <w:sz w:val="28"/>
                <w:szCs w:val="28"/>
                <w:highlight w:val="none"/>
                <w:lang w:val="en-US" w:eastAsia="zh-CN"/>
              </w:rPr>
              <w:t>2小时以上</w:t>
            </w:r>
            <w:r>
              <w:rPr>
                <w:rFonts w:hint="eastAsia" w:ascii="仿宋" w:hAnsi="仿宋" w:eastAsia="仿宋" w:cs="仿宋"/>
                <w:color w:val="000000"/>
                <w:w w:val="90"/>
                <w:sz w:val="28"/>
                <w:szCs w:val="28"/>
                <w:highlight w:val="none"/>
                <w:lang w:eastAsia="zh-CN"/>
              </w:rPr>
              <w:t>）</w:t>
            </w:r>
            <w:r>
              <w:rPr>
                <w:rFonts w:hint="eastAsia" w:ascii="仿宋" w:hAnsi="仿宋" w:eastAsia="仿宋" w:cs="仿宋"/>
                <w:color w:val="000000"/>
                <w:w w:val="90"/>
                <w:sz w:val="28"/>
                <w:szCs w:val="28"/>
                <w:highlight w:val="none"/>
                <w:lang w:val="en-US" w:eastAsia="zh-CN"/>
              </w:rPr>
              <w:t>得1-3分</w:t>
            </w:r>
            <w:r>
              <w:rPr>
                <w:rFonts w:hint="eastAsia" w:ascii="仿宋" w:hAnsi="仿宋" w:eastAsia="仿宋" w:cs="仿宋"/>
                <w:color w:val="000000"/>
                <w:w w:val="90"/>
                <w:sz w:val="28"/>
                <w:szCs w:val="28"/>
                <w:highlight w:val="none"/>
                <w:lang w:eastAsia="zh-CN"/>
              </w:rPr>
              <w:t>，</w:t>
            </w:r>
            <w:r>
              <w:rPr>
                <w:rFonts w:hint="eastAsia" w:ascii="仿宋" w:hAnsi="仿宋" w:eastAsia="仿宋" w:cs="仿宋"/>
                <w:color w:val="000000"/>
                <w:w w:val="90"/>
                <w:sz w:val="28"/>
                <w:szCs w:val="28"/>
                <w:highlight w:val="none"/>
              </w:rPr>
              <w:t>未提供故障应急处理响应时间承诺函不</w:t>
            </w:r>
            <w:r>
              <w:rPr>
                <w:rFonts w:hint="eastAsia" w:ascii="仿宋" w:hAnsi="仿宋" w:eastAsia="仿宋" w:cs="仿宋"/>
                <w:color w:val="000000"/>
                <w:w w:val="90"/>
                <w:sz w:val="28"/>
                <w:szCs w:val="28"/>
                <w:highlight w:val="none"/>
              </w:rPr>
              <w:t>得分。</w:t>
            </w:r>
          </w:p>
        </w:tc>
        <w:tc>
          <w:tcPr>
            <w:tcW w:w="1155" w:type="dxa"/>
            <w:noWrap w:val="0"/>
            <w:vAlign w:val="center"/>
          </w:tcPr>
          <w:p>
            <w:pPr>
              <w:ind w:firstLine="504" w:firstLineChars="200"/>
              <w:jc w:val="center"/>
              <w:rPr>
                <w:rFonts w:ascii="仿宋" w:hAnsi="仿宋" w:eastAsia="仿宋" w:cs="仿宋"/>
                <w:color w:val="000000"/>
                <w:w w:val="90"/>
                <w:sz w:val="28"/>
                <w:szCs w:val="28"/>
                <w:highlight w:val="none"/>
              </w:rPr>
            </w:pPr>
          </w:p>
          <w:p>
            <w:pPr>
              <w:ind w:firstLine="504" w:firstLineChars="200"/>
              <w:jc w:val="center"/>
              <w:rPr>
                <w:rFonts w:ascii="仿宋" w:hAnsi="仿宋" w:eastAsia="仿宋" w:cs="仿宋"/>
                <w:color w:val="000000"/>
                <w:w w:val="9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45" w:type="dxa"/>
            <w:noWrap w:val="0"/>
            <w:vAlign w:val="center"/>
          </w:tcPr>
          <w:p>
            <w:pPr>
              <w:ind w:firstLine="206" w:firstLineChars="82"/>
              <w:rPr>
                <w:rFonts w:hint="eastAsia" w:ascii="仿宋" w:hAnsi="仿宋" w:eastAsia="仿宋" w:cs="仿宋"/>
                <w:color w:val="000000"/>
                <w:w w:val="90"/>
                <w:sz w:val="28"/>
                <w:szCs w:val="28"/>
                <w:highlight w:val="none"/>
                <w:lang w:eastAsia="zh-CN"/>
              </w:rPr>
            </w:pPr>
            <w:r>
              <w:rPr>
                <w:rFonts w:hint="eastAsia" w:ascii="仿宋" w:hAnsi="仿宋" w:eastAsia="仿宋" w:cs="仿宋"/>
                <w:color w:val="000000"/>
                <w:w w:val="90"/>
                <w:sz w:val="28"/>
                <w:szCs w:val="28"/>
                <w:highlight w:val="none"/>
                <w:lang w:val="en-US" w:eastAsia="zh-CN"/>
              </w:rPr>
              <w:t>4</w:t>
            </w:r>
          </w:p>
        </w:tc>
        <w:tc>
          <w:tcPr>
            <w:tcW w:w="1780" w:type="dxa"/>
            <w:noWrap w:val="0"/>
            <w:vAlign w:val="center"/>
          </w:tcPr>
          <w:p>
            <w:pPr>
              <w:ind w:firstLine="126" w:firstLineChars="50"/>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维保人员</w:t>
            </w:r>
          </w:p>
          <w:p>
            <w:pPr>
              <w:ind w:firstLine="126" w:firstLineChars="50"/>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技术力量</w:t>
            </w:r>
          </w:p>
        </w:tc>
        <w:tc>
          <w:tcPr>
            <w:tcW w:w="1050" w:type="dxa"/>
            <w:noWrap w:val="0"/>
            <w:vAlign w:val="center"/>
          </w:tcPr>
          <w:p>
            <w:pPr>
              <w:ind w:firstLine="252" w:firstLineChars="100"/>
              <w:rPr>
                <w:rFonts w:hint="eastAsia" w:ascii="仿宋" w:hAnsi="仿宋" w:eastAsia="仿宋" w:cs="仿宋"/>
                <w:color w:val="000000"/>
                <w:w w:val="90"/>
                <w:sz w:val="28"/>
                <w:szCs w:val="28"/>
                <w:highlight w:val="none"/>
                <w:lang w:eastAsia="zh-CN"/>
              </w:rPr>
            </w:pPr>
            <w:r>
              <w:rPr>
                <w:rFonts w:hint="eastAsia" w:ascii="仿宋" w:hAnsi="仿宋" w:eastAsia="仿宋" w:cs="仿宋"/>
                <w:color w:val="000000"/>
                <w:w w:val="90"/>
                <w:sz w:val="28"/>
                <w:szCs w:val="28"/>
                <w:highlight w:val="none"/>
                <w:lang w:val="en-US" w:eastAsia="zh-CN"/>
              </w:rPr>
              <w:t>15</w:t>
            </w:r>
          </w:p>
        </w:tc>
        <w:tc>
          <w:tcPr>
            <w:tcW w:w="4725" w:type="dxa"/>
            <w:noWrap w:val="0"/>
            <w:vAlign w:val="center"/>
          </w:tcPr>
          <w:p>
            <w:pPr>
              <w:ind w:firstLine="126" w:firstLineChars="50"/>
              <w:jc w:val="left"/>
              <w:rPr>
                <w:rFonts w:hint="default" w:ascii="仿宋" w:hAnsi="仿宋" w:eastAsia="仿宋" w:cs="仿宋"/>
                <w:color w:val="000000"/>
                <w:w w:val="90"/>
                <w:sz w:val="28"/>
                <w:szCs w:val="28"/>
                <w:highlight w:val="none"/>
                <w:lang w:val="en-US" w:eastAsia="zh-CN"/>
              </w:rPr>
            </w:pPr>
            <w:r>
              <w:rPr>
                <w:rFonts w:hint="eastAsia" w:ascii="仿宋" w:hAnsi="仿宋" w:eastAsia="仿宋" w:cs="仿宋"/>
                <w:color w:val="000000"/>
                <w:w w:val="90"/>
                <w:sz w:val="28"/>
                <w:szCs w:val="28"/>
                <w:highlight w:val="none"/>
              </w:rPr>
              <w:t>公司技术</w:t>
            </w:r>
            <w:r>
              <w:rPr>
                <w:rFonts w:hint="eastAsia" w:ascii="仿宋" w:hAnsi="仿宋" w:eastAsia="仿宋" w:cs="仿宋"/>
                <w:color w:val="000000"/>
                <w:w w:val="90"/>
                <w:sz w:val="28"/>
                <w:szCs w:val="28"/>
                <w:highlight w:val="none"/>
                <w:lang w:eastAsia="zh-CN"/>
              </w:rPr>
              <w:t>力量</w:t>
            </w:r>
            <w:r>
              <w:rPr>
                <w:rFonts w:hint="eastAsia" w:ascii="仿宋" w:hAnsi="仿宋" w:eastAsia="仿宋" w:cs="仿宋"/>
                <w:color w:val="000000"/>
                <w:w w:val="90"/>
                <w:sz w:val="28"/>
                <w:szCs w:val="28"/>
                <w:highlight w:val="none"/>
              </w:rPr>
              <w:t>（</w:t>
            </w:r>
            <w:r>
              <w:rPr>
                <w:rFonts w:hint="eastAsia" w:ascii="仿宋" w:hAnsi="仿宋" w:eastAsia="仿宋" w:cs="仿宋"/>
                <w:color w:val="000000"/>
                <w:w w:val="90"/>
                <w:sz w:val="28"/>
                <w:szCs w:val="28"/>
                <w:highlight w:val="none"/>
                <w:lang w:eastAsia="zh-CN"/>
              </w:rPr>
              <w:t>投标单位</w:t>
            </w:r>
            <w:r>
              <w:rPr>
                <w:rFonts w:hint="eastAsia" w:ascii="仿宋" w:hAnsi="仿宋" w:eastAsia="仿宋" w:cs="仿宋"/>
                <w:color w:val="000000"/>
                <w:w w:val="90"/>
                <w:sz w:val="28"/>
                <w:szCs w:val="28"/>
                <w:highlight w:val="none"/>
              </w:rPr>
              <w:t>社保</w:t>
            </w:r>
            <w:r>
              <w:rPr>
                <w:rFonts w:hint="eastAsia" w:ascii="仿宋" w:hAnsi="仿宋" w:eastAsia="仿宋" w:cs="仿宋"/>
                <w:color w:val="000000"/>
                <w:w w:val="90"/>
                <w:sz w:val="28"/>
                <w:szCs w:val="28"/>
                <w:highlight w:val="none"/>
                <w:lang w:eastAsia="zh-CN"/>
              </w:rPr>
              <w:t>在册人员</w:t>
            </w:r>
            <w:r>
              <w:rPr>
                <w:rFonts w:hint="eastAsia" w:ascii="仿宋" w:hAnsi="仿宋" w:eastAsia="仿宋" w:cs="仿宋"/>
                <w:color w:val="000000"/>
                <w:w w:val="90"/>
                <w:sz w:val="28"/>
                <w:szCs w:val="28"/>
                <w:highlight w:val="none"/>
              </w:rPr>
              <w:t>并持有相关资格证书）</w:t>
            </w:r>
            <w:r>
              <w:rPr>
                <w:rFonts w:hint="eastAsia" w:ascii="仿宋" w:hAnsi="仿宋" w:eastAsia="仿宋" w:cs="仿宋"/>
                <w:color w:val="000000"/>
                <w:w w:val="90"/>
                <w:sz w:val="28"/>
                <w:szCs w:val="28"/>
                <w:highlight w:val="none"/>
                <w:lang w:val="en-US" w:eastAsia="zh-CN"/>
              </w:rPr>
              <w:t>人数和资格证书相匹配，根据维保人员和资格证书的数量进行综合评分</w:t>
            </w:r>
            <w:r>
              <w:rPr>
                <w:rFonts w:hint="eastAsia" w:ascii="仿宋" w:hAnsi="仿宋" w:eastAsia="仿宋" w:cs="仿宋"/>
                <w:color w:val="000000"/>
                <w:w w:val="90"/>
                <w:sz w:val="28"/>
                <w:szCs w:val="28"/>
                <w:highlight w:val="none"/>
              </w:rPr>
              <w:t>。</w:t>
            </w:r>
            <w:r>
              <w:rPr>
                <w:rFonts w:hint="eastAsia" w:ascii="仿宋" w:hAnsi="仿宋" w:eastAsia="仿宋" w:cs="仿宋"/>
                <w:color w:val="000000"/>
                <w:w w:val="90"/>
                <w:sz w:val="28"/>
                <w:szCs w:val="28"/>
                <w:highlight w:val="none"/>
                <w:lang w:val="en-US" w:eastAsia="zh-CN"/>
              </w:rPr>
              <w:t>同时满足注册消防工程师十人以上，其中一级注册消防工程师六人及以上，得8-10分；满足注册消防工程师六人以上，其中一级注册消防工程师三人及以上，得1-7分；派遣的维保专员持有的相关资格证书根据等级进行综合评分，最高可得5分。</w:t>
            </w:r>
          </w:p>
        </w:tc>
        <w:tc>
          <w:tcPr>
            <w:tcW w:w="1155" w:type="dxa"/>
            <w:noWrap w:val="0"/>
            <w:vAlign w:val="center"/>
          </w:tcPr>
          <w:p>
            <w:pPr>
              <w:ind w:firstLine="504" w:firstLineChars="200"/>
              <w:jc w:val="center"/>
              <w:rPr>
                <w:rFonts w:ascii="仿宋" w:hAnsi="仿宋" w:eastAsia="仿宋" w:cs="仿宋"/>
                <w:color w:val="000000"/>
                <w:w w:val="9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45" w:type="dxa"/>
            <w:noWrap w:val="0"/>
            <w:vAlign w:val="center"/>
          </w:tcPr>
          <w:p>
            <w:pPr>
              <w:ind w:firstLine="226" w:firstLineChars="90"/>
              <w:rPr>
                <w:rFonts w:hint="eastAsia" w:ascii="仿宋" w:hAnsi="仿宋" w:eastAsia="仿宋" w:cs="仿宋"/>
                <w:color w:val="000000"/>
                <w:w w:val="90"/>
                <w:sz w:val="28"/>
                <w:szCs w:val="28"/>
                <w:highlight w:val="none"/>
                <w:lang w:eastAsia="zh-CN"/>
              </w:rPr>
            </w:pPr>
            <w:r>
              <w:rPr>
                <w:rFonts w:hint="eastAsia" w:ascii="仿宋" w:hAnsi="仿宋" w:eastAsia="仿宋" w:cs="仿宋"/>
                <w:color w:val="000000"/>
                <w:w w:val="90"/>
                <w:sz w:val="28"/>
                <w:szCs w:val="28"/>
                <w:highlight w:val="none"/>
                <w:lang w:val="en-US" w:eastAsia="zh-CN"/>
              </w:rPr>
              <w:t>5</w:t>
            </w:r>
          </w:p>
        </w:tc>
        <w:tc>
          <w:tcPr>
            <w:tcW w:w="1780" w:type="dxa"/>
            <w:noWrap w:val="0"/>
            <w:vAlign w:val="center"/>
          </w:tcPr>
          <w:p>
            <w:pPr>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投标报价</w:t>
            </w:r>
          </w:p>
        </w:tc>
        <w:tc>
          <w:tcPr>
            <w:tcW w:w="1050" w:type="dxa"/>
            <w:noWrap w:val="0"/>
            <w:vAlign w:val="center"/>
          </w:tcPr>
          <w:p>
            <w:pPr>
              <w:ind w:firstLine="252" w:firstLineChars="100"/>
              <w:rPr>
                <w:rFonts w:hint="eastAsia" w:ascii="仿宋" w:hAnsi="仿宋" w:eastAsia="仿宋" w:cs="仿宋"/>
                <w:color w:val="000000"/>
                <w:w w:val="90"/>
                <w:sz w:val="28"/>
                <w:szCs w:val="28"/>
                <w:highlight w:val="none"/>
                <w:lang w:eastAsia="zh-CN"/>
              </w:rPr>
            </w:pPr>
            <w:r>
              <w:rPr>
                <w:rFonts w:hint="eastAsia" w:ascii="仿宋" w:hAnsi="仿宋" w:eastAsia="仿宋" w:cs="仿宋"/>
                <w:color w:val="000000"/>
                <w:w w:val="90"/>
                <w:sz w:val="28"/>
                <w:szCs w:val="28"/>
                <w:highlight w:val="none"/>
                <w:lang w:val="en-US" w:eastAsia="zh-CN"/>
              </w:rPr>
              <w:t>45</w:t>
            </w:r>
          </w:p>
        </w:tc>
        <w:tc>
          <w:tcPr>
            <w:tcW w:w="4725" w:type="dxa"/>
            <w:noWrap w:val="0"/>
            <w:vAlign w:val="center"/>
          </w:tcPr>
          <w:p>
            <w:pPr>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即满足招标文件要求且投标报价最低价为评标基准价，得分计算公式：投标报价得分</w:t>
            </w:r>
            <w:r>
              <w:rPr>
                <w:rFonts w:ascii="仿宋" w:hAnsi="仿宋" w:eastAsia="仿宋" w:cs="仿宋"/>
                <w:color w:val="000000"/>
                <w:w w:val="90"/>
                <w:sz w:val="28"/>
                <w:szCs w:val="28"/>
                <w:highlight w:val="none"/>
              </w:rPr>
              <w:t>=</w:t>
            </w:r>
            <w:r>
              <w:rPr>
                <w:rFonts w:hint="eastAsia" w:ascii="仿宋" w:hAnsi="仿宋" w:eastAsia="仿宋" w:cs="仿宋"/>
                <w:color w:val="000000"/>
                <w:w w:val="90"/>
                <w:sz w:val="28"/>
                <w:szCs w:val="28"/>
                <w:highlight w:val="none"/>
                <w:lang w:val="en-US" w:eastAsia="zh-CN"/>
              </w:rPr>
              <w:t>评标基准价</w:t>
            </w:r>
            <w:r>
              <w:rPr>
                <w:rFonts w:ascii="仿宋" w:hAnsi="仿宋" w:eastAsia="仿宋" w:cs="仿宋"/>
                <w:color w:val="000000"/>
                <w:w w:val="90"/>
                <w:sz w:val="28"/>
                <w:szCs w:val="28"/>
                <w:highlight w:val="none"/>
              </w:rPr>
              <w:t>/</w:t>
            </w:r>
            <w:r>
              <w:rPr>
                <w:rFonts w:hint="eastAsia" w:ascii="仿宋" w:hAnsi="仿宋" w:eastAsia="仿宋" w:cs="仿宋"/>
                <w:color w:val="000000"/>
                <w:w w:val="90"/>
                <w:sz w:val="28"/>
                <w:szCs w:val="28"/>
                <w:highlight w:val="none"/>
                <w:lang w:val="en-US" w:eastAsia="zh-CN"/>
              </w:rPr>
              <w:t>投标报价*45</w:t>
            </w:r>
          </w:p>
        </w:tc>
        <w:tc>
          <w:tcPr>
            <w:tcW w:w="1155" w:type="dxa"/>
            <w:noWrap w:val="0"/>
            <w:vAlign w:val="center"/>
          </w:tcPr>
          <w:p>
            <w:pPr>
              <w:ind w:firstLine="504" w:firstLineChars="200"/>
              <w:jc w:val="center"/>
              <w:rPr>
                <w:rFonts w:ascii="仿宋" w:hAnsi="仿宋" w:eastAsia="仿宋" w:cs="仿宋"/>
                <w:color w:val="000000"/>
                <w:w w:val="9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00" w:type="dxa"/>
            <w:gridSpan w:val="4"/>
            <w:noWrap w:val="0"/>
            <w:vAlign w:val="center"/>
          </w:tcPr>
          <w:p>
            <w:pPr>
              <w:ind w:firstLine="504" w:firstLineChars="200"/>
              <w:jc w:val="center"/>
              <w:rPr>
                <w:rFonts w:ascii="仿宋" w:hAnsi="仿宋" w:eastAsia="仿宋" w:cs="仿宋"/>
                <w:color w:val="000000"/>
                <w:w w:val="90"/>
                <w:sz w:val="28"/>
                <w:szCs w:val="28"/>
                <w:highlight w:val="none"/>
              </w:rPr>
            </w:pPr>
            <w:r>
              <w:rPr>
                <w:rFonts w:hint="eastAsia" w:ascii="仿宋" w:hAnsi="仿宋" w:eastAsia="仿宋" w:cs="仿宋"/>
                <w:color w:val="000000"/>
                <w:w w:val="90"/>
                <w:sz w:val="28"/>
                <w:szCs w:val="28"/>
                <w:highlight w:val="none"/>
              </w:rPr>
              <w:t>综合得分</w:t>
            </w:r>
          </w:p>
        </w:tc>
        <w:tc>
          <w:tcPr>
            <w:tcW w:w="1155" w:type="dxa"/>
            <w:noWrap w:val="0"/>
            <w:vAlign w:val="center"/>
          </w:tcPr>
          <w:p>
            <w:pPr>
              <w:ind w:firstLine="504" w:firstLineChars="200"/>
              <w:jc w:val="center"/>
              <w:rPr>
                <w:rFonts w:ascii="仿宋" w:hAnsi="仿宋" w:eastAsia="仿宋" w:cs="仿宋"/>
                <w:color w:val="000000"/>
                <w:w w:val="90"/>
                <w:sz w:val="28"/>
                <w:szCs w:val="28"/>
                <w:highlight w:val="none"/>
              </w:rPr>
            </w:pP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86FC1"/>
    <w:rsid w:val="2A386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2023-03-10T14:17:00Z</dcterms:created>
  <dc:creator>54550</dc:creator>
  <cp:lastModifiedBy>54550</cp:lastModifiedBy>
  <dcterms:modified xsi:type="dcterms:W3CDTF">2023-03-10T14:18:00Z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343EE72A27734A0298031163FAFE8B63</vt:lpwstr>
  </property>
</Properties>
</file>